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eastAsia="华文隶书"/>
          <w:b/>
          <w:sz w:val="48"/>
          <w:szCs w:val="48"/>
        </w:rPr>
      </w:pPr>
      <w:r>
        <w:rPr>
          <w:rFonts w:hint="eastAsia" w:eastAsia="华文隶书"/>
          <w:b/>
          <w:sz w:val="48"/>
          <w:szCs w:val="48"/>
        </w:rPr>
        <w:t>安徽信息工程</w:t>
      </w:r>
      <w:r>
        <w:rPr>
          <w:rFonts w:eastAsia="华文隶书"/>
          <w:b/>
          <w:sz w:val="48"/>
          <w:szCs w:val="48"/>
        </w:rPr>
        <w:t>学院</w:t>
      </w:r>
    </w:p>
    <w:p>
      <w:pPr>
        <w:spacing w:line="360" w:lineRule="auto"/>
        <w:jc w:val="center"/>
        <w:rPr>
          <w:rFonts w:ascii="Times New Roman" w:hAnsi="Times New Roman" w:eastAsia="黑体"/>
          <w:sz w:val="36"/>
          <w:szCs w:val="36"/>
        </w:rPr>
      </w:pPr>
      <w:r>
        <w:rPr>
          <w:rFonts w:hint="eastAsia" w:ascii="Times New Roman" w:hAnsi="Times New Roman" w:eastAsia="黑体"/>
          <w:sz w:val="36"/>
          <w:szCs w:val="36"/>
        </w:rPr>
        <w:t>《机制专业综合实验》教学大纲</w:t>
      </w:r>
    </w:p>
    <w:p>
      <w:pPr>
        <w:spacing w:line="360" w:lineRule="auto"/>
        <w:rPr>
          <w:b/>
          <w:i/>
          <w:snapToGrid w:val="0"/>
          <w:color w:val="FF0000"/>
          <w:kern w:val="0"/>
        </w:rPr>
      </w:pPr>
      <w:r>
        <w:rPr>
          <w:rFonts w:hint="eastAsia"/>
          <w:b/>
          <w:i/>
          <w:snapToGrid w:val="0"/>
          <w:color w:val="FF0000"/>
          <w:kern w:val="0"/>
        </w:rPr>
        <w:t>红色</w:t>
      </w:r>
      <w:r>
        <w:rPr>
          <w:b/>
          <w:i/>
          <w:snapToGrid w:val="0"/>
          <w:color w:val="FF0000"/>
          <w:kern w:val="0"/>
        </w:rPr>
        <w:t>字体部分为示例内容，定稿后请删除</w:t>
      </w: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一、课程基本信息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ascii="Times New Roman" w:hAnsi="Times New Roman"/>
          <w:snapToGrid w:val="0"/>
          <w:szCs w:val="20"/>
        </w:rPr>
        <w:t>1</w:t>
      </w:r>
      <w:r>
        <w:rPr>
          <w:rFonts w:ascii="Times New Roman" w:hAnsi="Times New Roman"/>
          <w:szCs w:val="24"/>
        </w:rPr>
        <w:t xml:space="preserve">. </w:t>
      </w:r>
      <w:r>
        <w:rPr>
          <w:rFonts w:hint="eastAsia" w:ascii="Times New Roman" w:hAnsi="Times New Roman"/>
          <w:snapToGrid w:val="0"/>
          <w:szCs w:val="20"/>
        </w:rPr>
        <w:t>课程编号：</w:t>
      </w:r>
      <w:r>
        <w:rPr>
          <w:rFonts w:ascii="Times New Roman" w:hAnsi="Times New Roman"/>
          <w:snapToGrid w:val="0"/>
          <w:color w:val="FF0000"/>
          <w:szCs w:val="20"/>
        </w:rPr>
        <w:t>MEC5***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ascii="Times New Roman" w:hAnsi="Times New Roman"/>
          <w:snapToGrid w:val="0"/>
          <w:szCs w:val="20"/>
        </w:rPr>
        <w:t>2</w:t>
      </w:r>
      <w:r>
        <w:rPr>
          <w:rFonts w:ascii="Times New Roman" w:hAnsi="Times New Roman"/>
          <w:szCs w:val="24"/>
        </w:rPr>
        <w:t xml:space="preserve">. </w:t>
      </w:r>
      <w:r>
        <w:rPr>
          <w:rFonts w:hint="eastAsia" w:ascii="Times New Roman" w:hAnsi="Times New Roman"/>
          <w:snapToGrid w:val="0"/>
          <w:szCs w:val="20"/>
        </w:rPr>
        <w:t>课程类别</w:t>
      </w:r>
      <w:bookmarkStart w:id="0" w:name="_GoBack"/>
      <w:bookmarkEnd w:id="0"/>
      <w:r>
        <w:rPr>
          <w:rFonts w:ascii="Times New Roman" w:hAnsi="Times New Roman"/>
          <w:snapToGrid w:val="0"/>
          <w:szCs w:val="20"/>
        </w:rPr>
        <w:t>/</w:t>
      </w:r>
      <w:r>
        <w:rPr>
          <w:rFonts w:hint="eastAsia" w:ascii="Times New Roman" w:hAnsi="Times New Roman"/>
          <w:snapToGrid w:val="0"/>
          <w:szCs w:val="20"/>
          <w:lang w:val="en-US" w:eastAsia="zh-CN"/>
        </w:rPr>
        <w:t>属性</w:t>
      </w:r>
      <w:r>
        <w:rPr>
          <w:rFonts w:hint="eastAsia" w:ascii="Times New Roman" w:hAnsi="Times New Roman"/>
          <w:snapToGrid w:val="0"/>
          <w:szCs w:val="20"/>
        </w:rPr>
        <w:t>：</w:t>
      </w:r>
      <w:r>
        <w:rPr>
          <w:rFonts w:hint="eastAsia" w:ascii="Times New Roman" w:hAnsi="Times New Roman"/>
          <w:snapToGrid w:val="0"/>
          <w:color w:val="FF0000"/>
          <w:szCs w:val="20"/>
        </w:rPr>
        <w:t>专业类</w:t>
      </w:r>
      <w:r>
        <w:rPr>
          <w:rFonts w:ascii="Times New Roman" w:hAnsi="Times New Roman"/>
          <w:snapToGrid w:val="0"/>
          <w:color w:val="FF0000"/>
          <w:szCs w:val="20"/>
        </w:rPr>
        <w:t>/</w:t>
      </w:r>
      <w:r>
        <w:rPr>
          <w:rFonts w:hint="eastAsia" w:ascii="Times New Roman" w:hAnsi="Times New Roman"/>
          <w:snapToGrid w:val="0"/>
          <w:color w:val="FF0000"/>
          <w:szCs w:val="20"/>
        </w:rPr>
        <w:t>集中实践教学环节</w:t>
      </w:r>
      <w:r>
        <w:rPr>
          <w:rFonts w:hint="eastAsia"/>
          <w:i/>
          <w:snapToGrid w:val="0"/>
          <w:color w:val="FF0000"/>
          <w:kern w:val="0"/>
        </w:rPr>
        <w:t>（基础类、</w:t>
      </w:r>
      <w:r>
        <w:rPr>
          <w:i/>
          <w:snapToGrid w:val="0"/>
          <w:color w:val="FF0000"/>
          <w:kern w:val="0"/>
        </w:rPr>
        <w:t>专业类、综合类</w:t>
      </w:r>
      <w:r>
        <w:rPr>
          <w:rFonts w:hint="eastAsia"/>
          <w:i/>
          <w:snapToGrid w:val="0"/>
          <w:color w:val="FF0000"/>
          <w:kern w:val="0"/>
        </w:rPr>
        <w:t>/实践教学环节</w:t>
      </w:r>
      <w:r>
        <w:rPr>
          <w:i/>
          <w:snapToGrid w:val="0"/>
          <w:color w:val="FF0000"/>
          <w:kern w:val="0"/>
        </w:rPr>
        <w:t>、集中实践教学环节；集中实践教学环节</w:t>
      </w:r>
      <w:r>
        <w:rPr>
          <w:rFonts w:hint="eastAsia"/>
          <w:i/>
          <w:snapToGrid w:val="0"/>
          <w:color w:val="FF0000"/>
          <w:kern w:val="0"/>
        </w:rPr>
        <w:t>一般</w:t>
      </w:r>
      <w:r>
        <w:rPr>
          <w:i/>
          <w:snapToGrid w:val="0"/>
          <w:color w:val="FF0000"/>
          <w:kern w:val="0"/>
        </w:rPr>
        <w:t>以周计）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ascii="Times New Roman" w:hAnsi="Times New Roman"/>
          <w:snapToGrid w:val="0"/>
          <w:szCs w:val="20"/>
        </w:rPr>
        <w:t>3</w:t>
      </w:r>
      <w:r>
        <w:rPr>
          <w:rFonts w:ascii="Times New Roman" w:hAnsi="Times New Roman"/>
          <w:szCs w:val="24"/>
        </w:rPr>
        <w:t xml:space="preserve">. </w:t>
      </w:r>
      <w:r>
        <w:rPr>
          <w:rFonts w:hint="eastAsia" w:ascii="Times New Roman" w:hAnsi="Times New Roman"/>
          <w:snapToGrid w:val="0"/>
          <w:szCs w:val="20"/>
        </w:rPr>
        <w:t>学时</w:t>
      </w:r>
      <w:r>
        <w:rPr>
          <w:rFonts w:ascii="Times New Roman" w:hAnsi="Times New Roman"/>
          <w:snapToGrid w:val="0"/>
          <w:szCs w:val="20"/>
        </w:rPr>
        <w:t>/</w:t>
      </w:r>
      <w:r>
        <w:rPr>
          <w:rFonts w:hint="eastAsia" w:ascii="Times New Roman" w:hAnsi="Times New Roman"/>
          <w:snapToGrid w:val="0"/>
          <w:szCs w:val="20"/>
        </w:rPr>
        <w:t>学分：</w:t>
      </w:r>
      <w:r>
        <w:rPr>
          <w:rFonts w:ascii="Times New Roman" w:hAnsi="Times New Roman"/>
          <w:snapToGrid w:val="0"/>
          <w:color w:val="FF0000"/>
          <w:szCs w:val="20"/>
        </w:rPr>
        <w:t>1</w:t>
      </w:r>
      <w:r>
        <w:rPr>
          <w:rFonts w:hint="eastAsia" w:ascii="Times New Roman" w:hAnsi="Times New Roman"/>
          <w:snapToGrid w:val="0"/>
          <w:color w:val="FF0000"/>
          <w:szCs w:val="20"/>
        </w:rPr>
        <w:t>周</w:t>
      </w:r>
      <w:r>
        <w:rPr>
          <w:rFonts w:ascii="Times New Roman" w:hAnsi="Times New Roman"/>
          <w:snapToGrid w:val="0"/>
          <w:color w:val="FF0000"/>
          <w:szCs w:val="20"/>
        </w:rPr>
        <w:t>/1</w:t>
      </w:r>
      <w:r>
        <w:rPr>
          <w:rFonts w:hint="eastAsia" w:ascii="Times New Roman" w:hAnsi="Times New Roman"/>
          <w:snapToGrid w:val="0"/>
          <w:color w:val="FF0000"/>
          <w:szCs w:val="20"/>
        </w:rPr>
        <w:t>学分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ascii="Times New Roman" w:hAnsi="Times New Roman"/>
          <w:snapToGrid w:val="0"/>
          <w:szCs w:val="20"/>
        </w:rPr>
        <w:t>4</w:t>
      </w:r>
      <w:r>
        <w:rPr>
          <w:rFonts w:ascii="Times New Roman" w:hAnsi="Times New Roman"/>
          <w:szCs w:val="24"/>
        </w:rPr>
        <w:t xml:space="preserve">. </w:t>
      </w:r>
      <w:r>
        <w:rPr>
          <w:rFonts w:hint="eastAsia" w:ascii="Times New Roman" w:hAnsi="Times New Roman"/>
          <w:snapToGrid w:val="0"/>
          <w:szCs w:val="20"/>
        </w:rPr>
        <w:t>适用专业：</w:t>
      </w:r>
      <w:r>
        <w:rPr>
          <w:rFonts w:hint="eastAsia" w:ascii="Times New Roman" w:hAnsi="Times New Roman"/>
          <w:snapToGrid w:val="0"/>
          <w:color w:val="FF0000"/>
          <w:szCs w:val="20"/>
        </w:rPr>
        <w:t>机械设计制造及其自动化，以及相近专业</w:t>
      </w: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二、课程目标</w:t>
      </w:r>
    </w:p>
    <w:p>
      <w:pPr>
        <w:widowControl/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《机械制造综合实验》是机械设计制造及其自动化专业的一门实践应用专业课，</w:t>
      </w:r>
      <w:r>
        <w:rPr>
          <w:rFonts w:hint="eastAsia" w:ascii="Times New Roman" w:hAnsi="Times New Roman"/>
          <w:color w:val="FF0000"/>
          <w:szCs w:val="24"/>
        </w:rPr>
        <w:t>是重要实践教学环节，是机械制造专业课堂教学的延续与补充，是课程与毕业设计前的实践准备，具有承上启下的作用，是将所学理论运用于实践的过程，也是对学生进行一次较全面的实际动手能力的训练与培养，</w:t>
      </w:r>
      <w:r>
        <w:rPr>
          <w:rFonts w:hint="eastAsia" w:ascii="Times New Roman" w:hAnsi="Times New Roman"/>
          <w:snapToGrid w:val="0"/>
          <w:color w:val="FF0000"/>
          <w:szCs w:val="20"/>
        </w:rPr>
        <w:t>在培养学生的工程应用能力方面占有重要地位。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hint="eastAsia" w:ascii="Times New Roman" w:hAnsi="Times New Roman"/>
          <w:snapToGrid w:val="0"/>
          <w:szCs w:val="20"/>
        </w:rPr>
        <w:t>本课程的任务是</w:t>
      </w:r>
      <w:r>
        <w:rPr>
          <w:rFonts w:hint="eastAsia" w:ascii="Times New Roman" w:hAnsi="Times New Roman"/>
          <w:snapToGrid w:val="0"/>
          <w:color w:val="FF0000"/>
          <w:szCs w:val="20"/>
        </w:rPr>
        <w:t>通过专业实验教学，使</w:t>
      </w:r>
      <w:r>
        <w:rPr>
          <w:rFonts w:hint="eastAsia" w:ascii="Times New Roman" w:hAnsi="Times New Roman"/>
          <w:color w:val="FF0000"/>
        </w:rPr>
        <w:t>学生进一步加深和巩固机械制造专业的各项专业知识，获取所学理论知识在工程应用中的能力，培养学生初步具有解决实际工程问题的能力和一定的创新能力，</w:t>
      </w:r>
      <w:r>
        <w:rPr>
          <w:rFonts w:hint="eastAsia" w:ascii="Times New Roman" w:hAnsi="Times New Roman"/>
          <w:snapToGrid w:val="0"/>
          <w:szCs w:val="20"/>
        </w:rPr>
        <w:t>支撑专业学习成果中相应指标点的达成。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hint="eastAsia" w:ascii="Times New Roman" w:hAnsi="Times New Roman"/>
          <w:snapToGrid w:val="0"/>
          <w:szCs w:val="20"/>
        </w:rPr>
        <w:t>课程目标对学生能力要求如下：</w:t>
      </w:r>
    </w:p>
    <w:p>
      <w:pPr>
        <w:spacing w:line="360" w:lineRule="auto"/>
        <w:ind w:firstLine="480" w:firstLineChars="200"/>
        <w:rPr>
          <w:rFonts w:ascii="Times New Roman" w:hAnsi="Times New Roman"/>
          <w:szCs w:val="24"/>
        </w:rPr>
      </w:pPr>
      <w:r>
        <w:rPr>
          <w:rFonts w:hint="eastAsia" w:ascii="Times New Roman" w:hAnsi="Times New Roman"/>
          <w:szCs w:val="24"/>
        </w:rPr>
        <w:t>课程目标</w:t>
      </w:r>
      <w:r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bCs/>
          <w:szCs w:val="24"/>
        </w:rPr>
        <w:t xml:space="preserve">. </w:t>
      </w:r>
      <w:r>
        <w:rPr>
          <w:rFonts w:hint="eastAsia" w:ascii="Times New Roman" w:hAnsi="Times New Roman"/>
          <w:bCs/>
          <w:color w:val="FF0000"/>
          <w:szCs w:val="24"/>
        </w:rPr>
        <w:t>通过</w:t>
      </w:r>
      <w:r>
        <w:rPr>
          <w:rFonts w:hint="eastAsia" w:ascii="Times New Roman" w:hAnsi="Times New Roman"/>
          <w:color w:val="FF0000"/>
          <w:szCs w:val="21"/>
        </w:rPr>
        <w:t>构建实验系统和实验方案，以及对实验结果的分析和解释，并通过获取的各项信息综合得到合理有效结论，完成实验报告。通过</w:t>
      </w:r>
      <w:r>
        <w:rPr>
          <w:rFonts w:hint="eastAsia" w:ascii="Times New Roman" w:hAnsi="Times New Roman"/>
          <w:color w:val="FF0000"/>
          <w:szCs w:val="24"/>
        </w:rPr>
        <w:t>理论和实际相结合过程，使所学的各项理论知识得到进一步巩固、加深和拓展，同时了解一定的生产实践过程，具有一定的工程设计能力和解决实际工程问题的能力。</w: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hint="eastAsia" w:ascii="Times New Roman" w:hAnsi="Times New Roman"/>
          <w:szCs w:val="24"/>
        </w:rPr>
        <w:t>课程目标</w:t>
      </w:r>
      <w:r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bCs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>
        <w:rPr>
          <w:rFonts w:hint="eastAsia" w:ascii="Times New Roman" w:hAnsi="Times New Roman"/>
          <w:color w:val="FF0000"/>
          <w:szCs w:val="24"/>
        </w:rPr>
        <w:t>能够与同组其他成员有效沟通，听取并综合同组其他成员的意见与建议，结合所学知识形成自己的实验系统与实验设计方案，并能够协调同组成员工作。</w:t>
      </w:r>
    </w:p>
    <w:p>
      <w:pPr>
        <w:spacing w:line="360" w:lineRule="auto"/>
        <w:ind w:firstLine="480" w:firstLineChars="200"/>
        <w:rPr>
          <w:i/>
          <w:snapToGrid w:val="0"/>
          <w:color w:val="FF0000"/>
          <w:kern w:val="0"/>
        </w:rPr>
      </w:pPr>
      <w:r>
        <w:rPr>
          <w:rFonts w:hint="eastAsia"/>
          <w:i/>
          <w:snapToGrid w:val="0"/>
          <w:color w:val="FF0000"/>
          <w:kern w:val="0"/>
        </w:rPr>
        <w:t>（仅作</w:t>
      </w:r>
      <w:r>
        <w:rPr>
          <w:i/>
          <w:snapToGrid w:val="0"/>
          <w:color w:val="FF0000"/>
          <w:kern w:val="0"/>
        </w:rPr>
        <w:t>提示</w:t>
      </w:r>
      <w:r>
        <w:rPr>
          <w:rFonts w:hint="eastAsia"/>
          <w:i/>
          <w:snapToGrid w:val="0"/>
          <w:color w:val="FF0000"/>
          <w:kern w:val="0"/>
        </w:rPr>
        <w:t>，</w:t>
      </w:r>
      <w:r>
        <w:rPr>
          <w:i/>
          <w:snapToGrid w:val="0"/>
          <w:color w:val="FF0000"/>
          <w:kern w:val="0"/>
        </w:rPr>
        <w:t>定稿后</w:t>
      </w:r>
      <w:r>
        <w:rPr>
          <w:rFonts w:hint="eastAsia"/>
          <w:i/>
          <w:snapToGrid w:val="0"/>
          <w:color w:val="FF0000"/>
          <w:kern w:val="0"/>
        </w:rPr>
        <w:t>请</w:t>
      </w:r>
      <w:r>
        <w:rPr>
          <w:i/>
          <w:snapToGrid w:val="0"/>
          <w:color w:val="FF0000"/>
          <w:kern w:val="0"/>
        </w:rPr>
        <w:t>删除：</w:t>
      </w:r>
      <w:r>
        <w:rPr>
          <w:rFonts w:hint="eastAsia"/>
          <w:i/>
          <w:snapToGrid w:val="0"/>
          <w:color w:val="FF0000"/>
          <w:kern w:val="0"/>
        </w:rPr>
        <w:t>所有</w:t>
      </w:r>
      <w:r>
        <w:rPr>
          <w:i/>
          <w:snapToGrid w:val="0"/>
          <w:color w:val="FF0000"/>
          <w:kern w:val="0"/>
        </w:rPr>
        <w:t>课程目标应从学生角度描述，</w:t>
      </w:r>
      <w:r>
        <w:rPr>
          <w:rFonts w:hint="eastAsia"/>
          <w:i/>
          <w:snapToGrid w:val="0"/>
          <w:color w:val="FF0000"/>
          <w:kern w:val="0"/>
        </w:rPr>
        <w:t>避免</w:t>
      </w:r>
      <w:r>
        <w:rPr>
          <w:i/>
          <w:snapToGrid w:val="0"/>
          <w:color w:val="FF0000"/>
          <w:kern w:val="0"/>
        </w:rPr>
        <w:t>出现</w:t>
      </w:r>
      <w:r>
        <w:rPr>
          <w:rFonts w:hint="eastAsia"/>
          <w:i/>
          <w:snapToGrid w:val="0"/>
          <w:color w:val="FF0000"/>
          <w:kern w:val="0"/>
        </w:rPr>
        <w:t>“</w:t>
      </w:r>
      <w:r>
        <w:rPr>
          <w:i/>
          <w:snapToGrid w:val="0"/>
          <w:color w:val="FF0000"/>
          <w:kern w:val="0"/>
        </w:rPr>
        <w:t>培养学生</w:t>
      </w:r>
      <w:r>
        <w:rPr>
          <w:rFonts w:hint="eastAsia"/>
          <w:i/>
          <w:snapToGrid w:val="0"/>
          <w:color w:val="FF0000"/>
          <w:kern w:val="0"/>
        </w:rPr>
        <w:t>”</w:t>
      </w:r>
      <w:r>
        <w:rPr>
          <w:i/>
          <w:snapToGrid w:val="0"/>
          <w:color w:val="FF0000"/>
          <w:kern w:val="0"/>
        </w:rPr>
        <w:t>，</w:t>
      </w:r>
      <w:r>
        <w:rPr>
          <w:rFonts w:hint="eastAsia"/>
          <w:i/>
          <w:snapToGrid w:val="0"/>
          <w:color w:val="FF0000"/>
          <w:kern w:val="0"/>
        </w:rPr>
        <w:t>“</w:t>
      </w:r>
      <w:r>
        <w:rPr>
          <w:i/>
          <w:snapToGrid w:val="0"/>
          <w:color w:val="FF0000"/>
          <w:kern w:val="0"/>
        </w:rPr>
        <w:t>使学生</w:t>
      </w:r>
      <w:r>
        <w:rPr>
          <w:rFonts w:hint="eastAsia"/>
          <w:i/>
          <w:snapToGrid w:val="0"/>
          <w:color w:val="FF0000"/>
          <w:kern w:val="0"/>
        </w:rPr>
        <w:t>具有”等从</w:t>
      </w:r>
      <w:r>
        <w:rPr>
          <w:i/>
          <w:snapToGrid w:val="0"/>
          <w:color w:val="FF0000"/>
          <w:kern w:val="0"/>
        </w:rPr>
        <w:t>教师角度描述的目标）</w:t>
      </w: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三、教学内容与课程目标的关系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学生分为</w:t>
      </w:r>
      <w:r>
        <w:rPr>
          <w:rFonts w:ascii="Times New Roman" w:hAnsi="Times New Roman"/>
          <w:snapToGrid w:val="0"/>
          <w:color w:val="FF0000"/>
          <w:szCs w:val="20"/>
        </w:rPr>
        <w:t>2</w:t>
      </w:r>
      <w:r>
        <w:rPr>
          <w:rFonts w:hint="eastAsia" w:ascii="Times New Roman" w:hAnsi="Times New Roman"/>
          <w:snapToGrid w:val="0"/>
          <w:color w:val="FF0000"/>
          <w:szCs w:val="20"/>
        </w:rPr>
        <w:t>组，每组分别完成下述</w:t>
      </w:r>
      <w:r>
        <w:rPr>
          <w:rFonts w:ascii="Times New Roman" w:hAnsi="Times New Roman"/>
          <w:snapToGrid w:val="0"/>
          <w:color w:val="FF0000"/>
          <w:szCs w:val="20"/>
        </w:rPr>
        <w:t>2</w:t>
      </w:r>
      <w:r>
        <w:rPr>
          <w:rFonts w:hint="eastAsia" w:ascii="Times New Roman" w:hAnsi="Times New Roman"/>
          <w:snapToGrid w:val="0"/>
          <w:color w:val="FF0000"/>
          <w:szCs w:val="20"/>
        </w:rPr>
        <w:t>个实验中的</w:t>
      </w:r>
      <w:r>
        <w:rPr>
          <w:rFonts w:ascii="Times New Roman" w:hAnsi="Times New Roman"/>
          <w:snapToGrid w:val="0"/>
          <w:color w:val="FF0000"/>
          <w:szCs w:val="20"/>
        </w:rPr>
        <w:t>1</w:t>
      </w:r>
      <w:r>
        <w:rPr>
          <w:rFonts w:hint="eastAsia" w:ascii="Times New Roman" w:hAnsi="Times New Roman"/>
          <w:snapToGrid w:val="0"/>
          <w:color w:val="FF0000"/>
          <w:szCs w:val="20"/>
        </w:rPr>
        <w:t>个。</w:t>
      </w:r>
    </w:p>
    <w:p>
      <w:pPr>
        <w:spacing w:line="360" w:lineRule="auto"/>
        <w:ind w:firstLine="482" w:firstLineChars="200"/>
        <w:jc w:val="center"/>
        <w:rPr>
          <w:rFonts w:ascii="Times New Roman" w:hAnsi="Times New Roman"/>
          <w:b/>
          <w:snapToGrid w:val="0"/>
          <w:kern w:val="0"/>
          <w:szCs w:val="20"/>
        </w:rPr>
      </w:pPr>
      <w:r>
        <w:rPr>
          <w:rFonts w:hint="eastAsia" w:ascii="Times New Roman" w:hAnsi="Times New Roman"/>
          <w:b/>
          <w:snapToGrid w:val="0"/>
          <w:kern w:val="0"/>
          <w:szCs w:val="20"/>
        </w:rPr>
        <w:t>课程教学内容与课程目标的关系</w:t>
      </w:r>
    </w:p>
    <w:tbl>
      <w:tblPr>
        <w:tblStyle w:val="5"/>
        <w:tblW w:w="9639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6"/>
        <w:gridCol w:w="825"/>
        <w:gridCol w:w="2520"/>
        <w:gridCol w:w="3591"/>
        <w:gridCol w:w="567"/>
        <w:gridCol w:w="567"/>
        <w:gridCol w:w="113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436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tabs>
                <w:tab w:val="left" w:pos="565"/>
              </w:tabs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序号</w:t>
            </w:r>
          </w:p>
        </w:tc>
        <w:tc>
          <w:tcPr>
            <w:tcW w:w="3345" w:type="dxa"/>
            <w:gridSpan w:val="2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教学内容</w:t>
            </w:r>
          </w:p>
        </w:tc>
        <w:tc>
          <w:tcPr>
            <w:tcW w:w="3591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教学要求</w:t>
            </w:r>
          </w:p>
        </w:tc>
        <w:tc>
          <w:tcPr>
            <w:tcW w:w="567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推荐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学时</w:t>
            </w:r>
          </w:p>
        </w:tc>
        <w:tc>
          <w:tcPr>
            <w:tcW w:w="567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教学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方式</w:t>
            </w:r>
          </w:p>
        </w:tc>
        <w:tc>
          <w:tcPr>
            <w:tcW w:w="1133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对应的课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程目标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436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1</w:t>
            </w:r>
          </w:p>
        </w:tc>
        <w:tc>
          <w:tcPr>
            <w:tcW w:w="3345" w:type="dxa"/>
            <w:gridSpan w:val="2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介绍并布置实验</w:t>
            </w:r>
          </w:p>
        </w:tc>
        <w:tc>
          <w:tcPr>
            <w:tcW w:w="3591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（1）介绍实验室情况，讲解实验室规章制度；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（2）讲解实验设备和仪器的使用要求；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（3）布置实验内容并进行实验分组。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0.5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讲授</w:t>
            </w:r>
          </w:p>
        </w:tc>
        <w:tc>
          <w:tcPr>
            <w:tcW w:w="1133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1564" w:hRule="atLeast"/>
          <w:jc w:val="center"/>
        </w:trPr>
        <w:tc>
          <w:tcPr>
            <w:tcW w:w="436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2</w:t>
            </w:r>
          </w:p>
        </w:tc>
        <w:tc>
          <w:tcPr>
            <w:tcW w:w="825" w:type="dxa"/>
            <w:vMerge w:val="restart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实验一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圆柱齿轮加工制造综合实验</w:t>
            </w:r>
          </w:p>
        </w:tc>
        <w:tc>
          <w:tcPr>
            <w:tcW w:w="2520" w:type="dxa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制作圆柱齿轮，参数如下；</w:t>
            </w:r>
          </w:p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Cs/>
                <w:color w:val="FF0000"/>
                <w:sz w:val="21"/>
                <w:szCs w:val="21"/>
              </w:rPr>
              <w:t>①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M=3mm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Z=20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β=15°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旋向：右旋；精度等级：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级；孔径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D=28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；齿宽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H=30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</w:p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Cs/>
                <w:color w:val="FF0000"/>
                <w:sz w:val="21"/>
                <w:szCs w:val="21"/>
              </w:rPr>
              <w:t>②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M=2mm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Z=30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β=12°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旋向：右旋；精度等级：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级；孔径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D=28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；齿宽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H=30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</w:p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Cs/>
                <w:color w:val="FF0000"/>
                <w:sz w:val="21"/>
                <w:szCs w:val="21"/>
              </w:rPr>
              <w:t>③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M=3mm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Z=24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β=10°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 xml:space="preserve"> 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旋向：右旋；精度等级：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级；孔径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D=28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；齿宽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H=30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</w:p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宋体"/>
                <w:bCs/>
                <w:color w:val="FF0000"/>
                <w:sz w:val="21"/>
                <w:szCs w:val="21"/>
              </w:rPr>
              <w:t>④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M=2mm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Z=36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 xml:space="preserve">β=8°; 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旋向：右旋；精度等级：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级；孔径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D=28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；齿宽</w:t>
            </w:r>
            <w:r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  <w:t>H=30</w:t>
            </w: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；</w:t>
            </w:r>
          </w:p>
          <w:p>
            <w:pPr>
              <w:pStyle w:val="3"/>
              <w:jc w:val="both"/>
              <w:rPr>
                <w:rFonts w:ascii="Times New Roman" w:hAnsi="Times New Roman" w:eastAsia="宋体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 w:eastAsia="宋体"/>
                <w:bCs/>
                <w:color w:val="FF0000"/>
                <w:sz w:val="21"/>
                <w:szCs w:val="21"/>
              </w:rPr>
              <w:t>（注：每组选做其中一个题目）</w:t>
            </w:r>
          </w:p>
        </w:tc>
        <w:tc>
          <w:tcPr>
            <w:tcW w:w="3591" w:type="dxa"/>
            <w:tcBorders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（1）进行圆柱齿轮结构和形状分析，设计并确定齿轮全部尺寸参数。</w:t>
            </w:r>
          </w:p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（2）选择并确定齿轮加工设备，掌握实验设备和实验工具的使用。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0.5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vMerge w:val="restart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讲授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指导</w:t>
            </w:r>
          </w:p>
        </w:tc>
        <w:tc>
          <w:tcPr>
            <w:tcW w:w="1133" w:type="dxa"/>
            <w:vMerge w:val="restart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520" w:hRule="atLeast"/>
          <w:jc w:val="center"/>
        </w:trPr>
        <w:tc>
          <w:tcPr>
            <w:tcW w:w="436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25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252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widowControl/>
              <w:adjustRightInd/>
              <w:snapToGrid/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3591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（</w:t>
            </w:r>
            <w:r>
              <w:rPr>
                <w:rFonts w:ascii="Times New Roman" w:hAnsi="Times New Roman"/>
                <w:bCs/>
                <w:color w:val="FF0000"/>
                <w:sz w:val="21"/>
                <w:szCs w:val="21"/>
              </w:rPr>
              <w:t>3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）设计计算滚齿机各传动链，确定各传动链传动比大小、交换齿轮齿数等各项参数。</w:t>
            </w:r>
          </w:p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（</w:t>
            </w:r>
            <w:r>
              <w:rPr>
                <w:rFonts w:ascii="Times New Roman" w:hAnsi="Times New Roman"/>
                <w:bCs/>
                <w:color w:val="FF0000"/>
                <w:sz w:val="21"/>
                <w:szCs w:val="21"/>
              </w:rPr>
              <w:t>4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）调试滚齿机，安装齿轮加工刀具和齿轮毛坯，进行校对并完成齿轮加工。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（</w:t>
            </w:r>
            <w:r>
              <w:rPr>
                <w:rFonts w:ascii="Times New Roman" w:hAnsi="Times New Roman"/>
                <w:bCs/>
                <w:color w:val="FF0000"/>
                <w:sz w:val="21"/>
                <w:szCs w:val="21"/>
              </w:rPr>
              <w:t>5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）检查齿轮加工情况，对齿轮进行相关检测并完成结果评定。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3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1133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25" w:hRule="atLeast"/>
          <w:jc w:val="center"/>
        </w:trPr>
        <w:tc>
          <w:tcPr>
            <w:tcW w:w="436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25" w:type="dxa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2520" w:type="dxa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adjustRightInd/>
              <w:snapToGrid/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3591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6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）设计并绘制齿轮工作图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。完成齿轮检测报告。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0.5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1133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901" w:hRule="atLeast"/>
          <w:jc w:val="center"/>
        </w:trPr>
        <w:tc>
          <w:tcPr>
            <w:tcW w:w="436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25" w:type="dxa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实验二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机电综合实验</w:t>
            </w:r>
          </w:p>
        </w:tc>
        <w:tc>
          <w:tcPr>
            <w:tcW w:w="2520" w:type="dxa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学生按要求自主设计并搭建双缸顺序往复气动综合循环回路设计，实现程序控制，采用三菱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PLC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作为主控</w:t>
            </w:r>
          </w:p>
        </w:tc>
        <w:tc>
          <w:tcPr>
            <w:tcW w:w="3591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bCs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学习三菱</w:t>
            </w:r>
            <w:r>
              <w:rPr>
                <w:rFonts w:ascii="Times New Roman" w:hAnsi="Times New Roman"/>
                <w:bCs/>
                <w:color w:val="FF0000"/>
                <w:sz w:val="21"/>
                <w:szCs w:val="21"/>
              </w:rPr>
              <w:t>PLC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编程及程序调试技术。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1133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50" w:hRule="atLeast"/>
          <w:jc w:val="center"/>
        </w:trPr>
        <w:tc>
          <w:tcPr>
            <w:tcW w:w="436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825" w:type="dxa"/>
            <w:vMerge w:val="continue"/>
            <w:tcBorders>
              <w:right w:val="single" w:color="auto" w:sz="4" w:space="0"/>
            </w:tcBorders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2520" w:type="dxa"/>
            <w:vMerge w:val="continue"/>
            <w:tcBorders>
              <w:left w:val="single" w:color="auto" w:sz="4" w:space="0"/>
            </w:tcBorders>
            <w:vAlign w:val="center"/>
          </w:tcPr>
          <w:p>
            <w:pPr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3591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</w:t>
            </w:r>
            <w:r>
              <w:rPr>
                <w:rFonts w:hint="eastAsia" w:ascii="Times New Roman" w:hAnsi="Times New Roman"/>
                <w:bCs/>
                <w:color w:val="FF0000"/>
                <w:sz w:val="21"/>
                <w:szCs w:val="21"/>
              </w:rPr>
              <w:t>设计双缸机电控制回路，并进行硬件组态，程序编写，最终调试实现设计意图。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3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  <w:tc>
          <w:tcPr>
            <w:tcW w:w="1133" w:type="dxa"/>
            <w:vMerge w:val="continue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436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sz w:val="21"/>
                <w:szCs w:val="21"/>
              </w:rPr>
              <w:t>3</w:t>
            </w:r>
          </w:p>
        </w:tc>
        <w:tc>
          <w:tcPr>
            <w:tcW w:w="3345" w:type="dxa"/>
            <w:gridSpan w:val="2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实验报告与答辩</w:t>
            </w:r>
          </w:p>
        </w:tc>
        <w:tc>
          <w:tcPr>
            <w:tcW w:w="3591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（1）按实验要求完成实验报告；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（2）检查并批改实验报告；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（3）针对实验结果和重点内容进行答辩。</w:t>
            </w:r>
          </w:p>
        </w:tc>
        <w:tc>
          <w:tcPr>
            <w:tcW w:w="567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0.5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天</w:t>
            </w:r>
          </w:p>
        </w:tc>
        <w:tc>
          <w:tcPr>
            <w:tcW w:w="567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讲授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提问</w:t>
            </w:r>
          </w:p>
        </w:tc>
        <w:tc>
          <w:tcPr>
            <w:tcW w:w="1133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</w:t>
            </w:r>
          </w:p>
        </w:tc>
      </w:tr>
    </w:tbl>
    <w:p>
      <w:pPr>
        <w:spacing w:line="360" w:lineRule="auto"/>
        <w:ind w:firstLine="482" w:firstLineChars="200"/>
        <w:rPr>
          <w:rFonts w:eastAsia="黑体"/>
          <w:b/>
        </w:rPr>
      </w:pPr>
    </w:p>
    <w:p>
      <w:pPr>
        <w:spacing w:line="360" w:lineRule="auto"/>
        <w:ind w:firstLine="482" w:firstLineChars="200"/>
        <w:rPr>
          <w:rFonts w:eastAsia="黑体"/>
          <w:b/>
        </w:rPr>
      </w:pPr>
    </w:p>
    <w:p>
      <w:pPr>
        <w:spacing w:line="360" w:lineRule="auto"/>
        <w:ind w:firstLine="482" w:firstLineChars="200"/>
        <w:rPr>
          <w:rFonts w:eastAsia="黑体"/>
          <w:b/>
        </w:rPr>
      </w:pPr>
    </w:p>
    <w:p>
      <w:pPr>
        <w:spacing w:line="360" w:lineRule="auto"/>
        <w:ind w:firstLine="482" w:firstLineChars="200"/>
        <w:rPr>
          <w:rFonts w:eastAsia="黑体"/>
          <w:b/>
        </w:rPr>
      </w:pPr>
    </w:p>
    <w:p>
      <w:pPr>
        <w:spacing w:line="360" w:lineRule="auto"/>
        <w:ind w:firstLine="482" w:firstLineChars="200"/>
        <w:rPr>
          <w:rFonts w:eastAsia="黑体"/>
          <w:b/>
        </w:rPr>
      </w:pPr>
      <w:r>
        <w:rPr>
          <w:rFonts w:hint="eastAsia" w:eastAsia="黑体"/>
          <w:b/>
        </w:rPr>
        <w:t>四、课程目标与毕业要求的关系</w:t>
      </w:r>
    </w:p>
    <w:p>
      <w:pPr>
        <w:adjustRightInd/>
        <w:snapToGrid/>
        <w:spacing w:line="360" w:lineRule="auto"/>
        <w:jc w:val="center"/>
        <w:rPr>
          <w:rFonts w:ascii="Times New Roman" w:hAnsi="Times New Roman"/>
          <w:b/>
          <w:snapToGrid w:val="0"/>
          <w:kern w:val="0"/>
          <w:szCs w:val="20"/>
        </w:rPr>
      </w:pPr>
      <w:r>
        <w:rPr>
          <w:rFonts w:hint="eastAsia" w:ascii="Times New Roman" w:hAnsi="Times New Roman"/>
          <w:b/>
          <w:snapToGrid w:val="0"/>
          <w:kern w:val="0"/>
          <w:szCs w:val="20"/>
        </w:rPr>
        <w:t>课程目标对毕业要求的支撑关系</w:t>
      </w:r>
    </w:p>
    <w:tbl>
      <w:tblPr>
        <w:tblStyle w:val="5"/>
        <w:tblW w:w="956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87"/>
        <w:gridCol w:w="5106"/>
        <w:gridCol w:w="2267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blHeader/>
          <w:jc w:val="center"/>
        </w:trPr>
        <w:tc>
          <w:tcPr>
            <w:tcW w:w="2187" w:type="dxa"/>
            <w:tcMar>
              <w:top w:w="57" w:type="dxa"/>
              <w:bottom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napToGrid w:val="0"/>
                <w:kern w:val="0"/>
                <w:sz w:val="21"/>
                <w:szCs w:val="21"/>
              </w:rPr>
              <w:t>毕业要求</w:t>
            </w:r>
          </w:p>
        </w:tc>
        <w:tc>
          <w:tcPr>
            <w:tcW w:w="5106" w:type="dxa"/>
            <w:tcMar>
              <w:top w:w="57" w:type="dxa"/>
              <w:bottom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napToGrid w:val="0"/>
                <w:kern w:val="0"/>
                <w:sz w:val="21"/>
                <w:szCs w:val="21"/>
              </w:rPr>
              <w:t>毕业要求分解</w:t>
            </w:r>
            <w:r>
              <w:rPr>
                <w:rFonts w:ascii="Times New Roman" w:hAnsi="Times New Roman"/>
                <w:b/>
                <w:snapToGrid w:val="0"/>
                <w:kern w:val="0"/>
                <w:sz w:val="21"/>
                <w:szCs w:val="21"/>
              </w:rPr>
              <w:t>指标点</w:t>
            </w:r>
          </w:p>
        </w:tc>
        <w:tc>
          <w:tcPr>
            <w:tcW w:w="2267" w:type="dxa"/>
            <w:tcMar>
              <w:top w:w="57" w:type="dxa"/>
              <w:bottom w:w="57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b/>
                <w:snapToGrid w:val="0"/>
                <w:kern w:val="0"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napToGrid w:val="0"/>
                <w:kern w:val="0"/>
                <w:sz w:val="21"/>
                <w:szCs w:val="21"/>
              </w:rPr>
              <w:t>课程目标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218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rPr>
                <w:rFonts w:ascii="Times New Roman" w:hAnsi="Times New Roman"/>
                <w:b/>
                <w:snapToGrid w:val="0"/>
                <w:kern w:val="0"/>
                <w:sz w:val="21"/>
                <w:szCs w:val="21"/>
              </w:rPr>
            </w:pPr>
          </w:p>
        </w:tc>
        <w:tc>
          <w:tcPr>
            <w:tcW w:w="5106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jc w:val="center"/>
        </w:trPr>
        <w:tc>
          <w:tcPr>
            <w:tcW w:w="218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rPr>
                <w:rFonts w:ascii="Times New Roman" w:hAnsi="Times New Roman"/>
                <w:sz w:val="21"/>
              </w:rPr>
            </w:pPr>
          </w:p>
        </w:tc>
        <w:tc>
          <w:tcPr>
            <w:tcW w:w="5106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226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五、课程教学方法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ascii="Times New Roman" w:hAnsi="Times New Roman"/>
          <w:snapToGrid w:val="0"/>
          <w:color w:val="FF0000"/>
          <w:szCs w:val="20"/>
        </w:rPr>
        <w:t xml:space="preserve">1. </w:t>
      </w:r>
      <w:r>
        <w:rPr>
          <w:rFonts w:hint="eastAsia" w:ascii="Times New Roman" w:hAnsi="Times New Roman"/>
          <w:snapToGrid w:val="0"/>
          <w:color w:val="FF0000"/>
          <w:szCs w:val="20"/>
        </w:rPr>
        <w:t>实验讲授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（1）</w:t>
      </w:r>
      <w:r>
        <w:rPr>
          <w:rFonts w:ascii="Times New Roman" w:hAnsi="Times New Roman"/>
          <w:snapToGrid w:val="0"/>
          <w:color w:val="FF0000"/>
          <w:szCs w:val="20"/>
        </w:rPr>
        <w:t xml:space="preserve"> </w:t>
      </w:r>
      <w:r>
        <w:rPr>
          <w:rFonts w:hint="eastAsia" w:ascii="Times New Roman" w:hAnsi="Times New Roman"/>
          <w:snapToGrid w:val="0"/>
          <w:color w:val="FF0000"/>
          <w:szCs w:val="20"/>
        </w:rPr>
        <w:t>采用启发式教学，激发学生主动学习的兴趣，培养学生独立思考、分析问题和解决问题的能力，引导学生通过实验过程获得自己想学到的知识。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（2）</w:t>
      </w:r>
      <w:r>
        <w:rPr>
          <w:rFonts w:ascii="Times New Roman" w:hAnsi="Times New Roman"/>
          <w:snapToGrid w:val="0"/>
          <w:color w:val="FF0000"/>
          <w:szCs w:val="20"/>
        </w:rPr>
        <w:t xml:space="preserve"> </w:t>
      </w:r>
      <w:r>
        <w:rPr>
          <w:rFonts w:hint="eastAsia" w:ascii="Times New Roman" w:hAnsi="Times New Roman"/>
          <w:snapToGrid w:val="0"/>
          <w:color w:val="FF0000"/>
          <w:szCs w:val="20"/>
        </w:rPr>
        <w:t>采用现场实践教学。实验中理论教学与实践相结合，引导学生应用所学理论知识解决实际问题。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（3）采用互动式教学。指导实验中采用讨论和答疑相结合方式进行。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ascii="Times New Roman" w:hAnsi="Times New Roman"/>
          <w:snapToGrid w:val="0"/>
          <w:color w:val="FF0000"/>
          <w:szCs w:val="20"/>
        </w:rPr>
        <w:t xml:space="preserve">2. </w:t>
      </w:r>
      <w:r>
        <w:rPr>
          <w:rFonts w:hint="eastAsia" w:ascii="Times New Roman" w:hAnsi="Times New Roman"/>
          <w:snapToGrid w:val="0"/>
          <w:color w:val="FF0000"/>
          <w:szCs w:val="20"/>
        </w:rPr>
        <w:t>实验指导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color w:val="FF0000"/>
          <w:szCs w:val="20"/>
        </w:rPr>
      </w:pPr>
      <w:r>
        <w:rPr>
          <w:rFonts w:hint="eastAsia" w:ascii="Times New Roman" w:hAnsi="Times New Roman"/>
          <w:snapToGrid w:val="0"/>
          <w:color w:val="FF0000"/>
          <w:szCs w:val="20"/>
        </w:rPr>
        <w:t>检查并指导学生进行实验，围绕实验中的重点和难点内容进行讲解和答疑，促进学生理解、掌握和应用实验过程中的知识点。</w:t>
      </w: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六、课程考核方法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  <w:szCs w:val="20"/>
        </w:rPr>
      </w:pPr>
      <w:r>
        <w:rPr>
          <w:rFonts w:hint="eastAsia" w:ascii="Times New Roman" w:hAnsi="Times New Roman"/>
          <w:snapToGrid w:val="0"/>
          <w:szCs w:val="20"/>
        </w:rPr>
        <w:t>检验课程目标达成度，评价学生实验成果达成度。考核环节包括</w:t>
      </w:r>
      <w:r>
        <w:rPr>
          <w:rFonts w:hint="eastAsia" w:ascii="Times New Roman" w:hAnsi="Times New Roman"/>
          <w:snapToGrid w:val="0"/>
          <w:color w:val="FF0000"/>
          <w:szCs w:val="20"/>
        </w:rPr>
        <w:t>实验表现成绩、实验过程成绩和实验结果成绩</w:t>
      </w:r>
      <w:r>
        <w:rPr>
          <w:rFonts w:hint="eastAsia" w:ascii="Times New Roman" w:hAnsi="Times New Roman"/>
          <w:snapToGrid w:val="0"/>
          <w:szCs w:val="20"/>
        </w:rPr>
        <w:t>，总评成绩以百分计，满分</w:t>
      </w:r>
      <w:r>
        <w:rPr>
          <w:rFonts w:ascii="Times New Roman" w:hAnsi="Times New Roman"/>
          <w:snapToGrid w:val="0"/>
          <w:szCs w:val="20"/>
        </w:rPr>
        <w:t>100</w:t>
      </w:r>
      <w:r>
        <w:rPr>
          <w:rFonts w:hint="eastAsia" w:ascii="Times New Roman" w:hAnsi="Times New Roman"/>
          <w:snapToGrid w:val="0"/>
          <w:szCs w:val="20"/>
        </w:rPr>
        <w:t>分，</w:t>
      </w:r>
      <w:r>
        <w:rPr>
          <w:rFonts w:hint="eastAsia" w:ascii="Times New Roman" w:hAnsi="Times New Roman"/>
          <w:snapToGrid w:val="0"/>
          <w:color w:val="FF0000"/>
          <w:szCs w:val="20"/>
        </w:rPr>
        <w:t>表现成绩由考勤和实验时的态度组成，实验过程成绩由构建的实验方案情况、实验实际进行情况、同组相互交流和担当角色情况组成，实验结果成绩由实验报告完成情况和回答问题情况组成。</w:t>
      </w:r>
      <w:r>
        <w:rPr>
          <w:rFonts w:hint="eastAsia" w:ascii="Times New Roman" w:hAnsi="Times New Roman"/>
          <w:snapToGrid w:val="0"/>
          <w:szCs w:val="20"/>
        </w:rPr>
        <w:t>各考核环节所占分值比例可根据具体情况微调，建议值及考核细则如下。</w:t>
      </w:r>
    </w:p>
    <w:tbl>
      <w:tblPr>
        <w:tblStyle w:val="5"/>
        <w:tblW w:w="0" w:type="auto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68"/>
        <w:gridCol w:w="1701"/>
        <w:gridCol w:w="6237"/>
        <w:gridCol w:w="113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568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考核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依据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建议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分值</w:t>
            </w:r>
          </w:p>
        </w:tc>
        <w:tc>
          <w:tcPr>
            <w:tcW w:w="6237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考核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/</w:t>
            </w:r>
            <w:r>
              <w:rPr>
                <w:rFonts w:hint="eastAsia" w:ascii="Times New Roman" w:hAnsi="Times New Roman"/>
                <w:b/>
                <w:sz w:val="21"/>
                <w:szCs w:val="21"/>
              </w:rPr>
              <w:t>评价细则</w:t>
            </w:r>
          </w:p>
        </w:tc>
        <w:tc>
          <w:tcPr>
            <w:tcW w:w="1133" w:type="dxa"/>
            <w:tcBorders>
              <w:top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对应课</w:t>
            </w:r>
          </w:p>
          <w:p>
            <w:pPr>
              <w:spacing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/>
                <w:b/>
                <w:sz w:val="21"/>
                <w:szCs w:val="21"/>
              </w:rPr>
              <w:t>程目标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711" w:hRule="atLeast"/>
          <w:jc w:val="center"/>
        </w:trPr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snapToGrid w:val="0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表现成绩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snapToGrid w:val="0"/>
                <w:color w:val="FF0000"/>
                <w:sz w:val="21"/>
                <w:szCs w:val="21"/>
              </w:rPr>
              <w:t>10</w:t>
            </w:r>
          </w:p>
        </w:tc>
        <w:tc>
          <w:tcPr>
            <w:tcW w:w="623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（1）考勤情况，满分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（2）实验过程中的态度，满分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5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</w:tc>
        <w:tc>
          <w:tcPr>
            <w:tcW w:w="1133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568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过程成绩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50</w:t>
            </w:r>
          </w:p>
        </w:tc>
        <w:tc>
          <w:tcPr>
            <w:tcW w:w="6237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（1）实验方案的设计与调试，满分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10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（2）实验中合作与交流，满分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20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（3）实验中担当的角色，满分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20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</w:tc>
        <w:tc>
          <w:tcPr>
            <w:tcW w:w="1133" w:type="dxa"/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20" w:hRule="atLeast"/>
          <w:jc w:val="center"/>
        </w:trPr>
        <w:tc>
          <w:tcPr>
            <w:tcW w:w="568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结果成绩</w:t>
            </w:r>
          </w:p>
        </w:tc>
        <w:tc>
          <w:tcPr>
            <w:tcW w:w="1701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jc w:val="center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ascii="Times New Roman" w:hAnsi="Times New Roman"/>
                <w:color w:val="FF0000"/>
                <w:sz w:val="21"/>
                <w:szCs w:val="21"/>
              </w:rPr>
              <w:t>40</w:t>
            </w:r>
          </w:p>
        </w:tc>
        <w:tc>
          <w:tcPr>
            <w:tcW w:w="6237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（1）实验报告质量，满分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30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（2）回答问题，满分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10</w:t>
            </w: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分。</w:t>
            </w:r>
          </w:p>
        </w:tc>
        <w:tc>
          <w:tcPr>
            <w:tcW w:w="1133" w:type="dxa"/>
            <w:tcBorders>
              <w:bottom w:val="single" w:color="auto" w:sz="12" w:space="0"/>
            </w:tcBorders>
            <w:tcMar>
              <w:top w:w="57" w:type="dxa"/>
              <w:bottom w:w="57" w:type="dxa"/>
            </w:tcMar>
            <w:vAlign w:val="center"/>
          </w:tcPr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1</w:t>
            </w:r>
          </w:p>
          <w:p>
            <w:pPr>
              <w:spacing w:line="240" w:lineRule="auto"/>
              <w:rPr>
                <w:rFonts w:ascii="Times New Roman" w:hAnsi="Times New Roman"/>
                <w:color w:val="FF0000"/>
                <w:sz w:val="21"/>
                <w:szCs w:val="21"/>
              </w:rPr>
            </w:pPr>
            <w:r>
              <w:rPr>
                <w:rFonts w:hint="eastAsia" w:ascii="Times New Roman" w:hAnsi="Times New Roman"/>
                <w:color w:val="FF0000"/>
                <w:sz w:val="21"/>
                <w:szCs w:val="21"/>
              </w:rPr>
              <w:t>课程目标</w:t>
            </w:r>
            <w:r>
              <w:rPr>
                <w:rFonts w:ascii="Times New Roman" w:hAnsi="Times New Roman"/>
                <w:color w:val="FF0000"/>
                <w:sz w:val="21"/>
                <w:szCs w:val="21"/>
              </w:rPr>
              <w:t>2</w:t>
            </w:r>
          </w:p>
        </w:tc>
      </w:tr>
    </w:tbl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七、课程目标达成度评价</w:t>
      </w:r>
    </w:p>
    <w:p>
      <w:pPr>
        <w:spacing w:line="360" w:lineRule="auto"/>
        <w:ind w:firstLine="480" w:firstLineChars="200"/>
        <w:rPr>
          <w:rFonts w:ascii="Times New Roman" w:hAnsi="Times New Roman"/>
          <w:szCs w:val="24"/>
        </w:rPr>
      </w:pPr>
      <w:r>
        <w:rPr>
          <w:rFonts w:hint="eastAsia" w:ascii="Times New Roman" w:hAnsi="Times New Roman"/>
          <w:szCs w:val="24"/>
        </w:rPr>
        <w:t>课程目标达成度评价包括课程分目标达成度评价，以及课程总目标达成度评价，具体计算方法如下：</w:t>
      </w:r>
    </w:p>
    <w:p>
      <w:pPr>
        <w:spacing w:line="360" w:lineRule="auto"/>
        <w:jc w:val="center"/>
        <w:rPr>
          <w:rFonts w:ascii="Times New Roman" w:hAnsi="Times New Roman"/>
          <w:sz w:val="19"/>
          <w:szCs w:val="19"/>
        </w:rPr>
      </w:pPr>
      <w:r>
        <w:rPr>
          <w:position w:val="-26"/>
          <w:sz w:val="19"/>
          <w:szCs w:val="19"/>
        </w:rPr>
        <w:object>
          <v:shape id="_x0000_i1025" o:spt="75" type="#_x0000_t75" style="height:33pt;width:396.7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</w:p>
    <w:p>
      <w:pPr>
        <w:spacing w:line="360" w:lineRule="auto"/>
        <w:jc w:val="center"/>
        <w:rPr>
          <w:rFonts w:ascii="Times New Roman" w:hAnsi="Times New Roman"/>
          <w:sz w:val="19"/>
          <w:szCs w:val="19"/>
        </w:rPr>
      </w:pPr>
    </w:p>
    <w:p>
      <w:pPr>
        <w:spacing w:line="360" w:lineRule="auto"/>
        <w:jc w:val="center"/>
        <w:rPr>
          <w:rFonts w:ascii="Times New Roman" w:hAnsi="Times New Roman"/>
          <w:sz w:val="19"/>
          <w:szCs w:val="19"/>
        </w:rPr>
      </w:pPr>
      <w:r>
        <w:rPr>
          <w:position w:val="-26"/>
          <w:sz w:val="19"/>
          <w:szCs w:val="19"/>
        </w:rPr>
        <w:object>
          <v:shape id="_x0000_i1026" o:spt="75" type="#_x0000_t75" style="height:33pt;width:263.25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</w:p>
    <w:p>
      <w:pPr>
        <w:spacing w:line="360" w:lineRule="auto"/>
        <w:ind w:firstLine="482" w:firstLineChars="200"/>
        <w:rPr>
          <w:rFonts w:ascii="Times New Roman" w:hAnsi="Times New Roman" w:eastAsia="黑体"/>
          <w:b/>
          <w:szCs w:val="24"/>
        </w:rPr>
      </w:pPr>
      <w:r>
        <w:rPr>
          <w:rFonts w:hint="eastAsia" w:ascii="Times New Roman" w:hAnsi="Times New Roman" w:eastAsia="黑体"/>
          <w:b/>
          <w:szCs w:val="24"/>
        </w:rPr>
        <w:t>八、建议教材及参考书</w:t>
      </w:r>
    </w:p>
    <w:p>
      <w:pPr>
        <w:spacing w:line="360" w:lineRule="auto"/>
        <w:ind w:firstLine="480" w:firstLineChars="200"/>
        <w:rPr>
          <w:rFonts w:ascii="Times New Roman" w:hAnsi="Times New Roman"/>
          <w:snapToGrid w:val="0"/>
        </w:rPr>
      </w:pPr>
      <w:r>
        <w:rPr>
          <w:rFonts w:hint="eastAsia" w:ascii="Times New Roman" w:hAnsi="Times New Roman"/>
          <w:snapToGrid w:val="0"/>
        </w:rPr>
        <w:t>推荐教材：</w:t>
      </w:r>
      <w:r>
        <w:rPr>
          <w:rFonts w:ascii="Times New Roman" w:hAnsi="Times New Roman"/>
          <w:snapToGrid w:val="0"/>
          <w:position w:val="-10"/>
        </w:rPr>
        <w:object>
          <v:shape id="_x0000_i1027" o:spt="75" type="#_x0000_t75" style="height:17.25pt;width:72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1. </w:t>
      </w:r>
      <w:r>
        <w:rPr>
          <w:rFonts w:hint="eastAsia" w:ascii="Times New Roman" w:hAnsi="Times New Roman"/>
          <w:color w:val="FF0000"/>
          <w:szCs w:val="24"/>
        </w:rPr>
        <w:t>赵雪松</w:t>
      </w:r>
      <w:r>
        <w:rPr>
          <w:rFonts w:ascii="Times New Roman" w:hAnsi="Times New Roman"/>
          <w:color w:val="FF0000"/>
          <w:szCs w:val="24"/>
        </w:rPr>
        <w:t xml:space="preserve">. </w:t>
      </w:r>
      <w:r>
        <w:rPr>
          <w:rFonts w:hint="eastAsia" w:ascii="Times New Roman" w:hAnsi="Times New Roman"/>
          <w:color w:val="FF0000"/>
          <w:szCs w:val="24"/>
        </w:rPr>
        <w:t>机械制造技术</w:t>
      </w:r>
      <w:r>
        <w:rPr>
          <w:rFonts w:ascii="Times New Roman" w:hAnsi="Times New Roman"/>
          <w:color w:val="FF0000"/>
          <w:szCs w:val="24"/>
        </w:rPr>
        <w:t xml:space="preserve">[M]. </w:t>
      </w:r>
      <w:r>
        <w:rPr>
          <w:rFonts w:hint="eastAsia" w:ascii="Times New Roman" w:hAnsi="Times New Roman"/>
          <w:color w:val="FF0000"/>
          <w:szCs w:val="24"/>
        </w:rPr>
        <w:t>武汉：华中科技大学出版社，</w:t>
      </w:r>
      <w:r>
        <w:rPr>
          <w:rFonts w:ascii="Times New Roman" w:hAnsi="Times New Roman"/>
          <w:color w:val="FF0000"/>
          <w:szCs w:val="24"/>
        </w:rPr>
        <w:t>2006.</w: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hint="eastAsia" w:ascii="Times New Roman" w:hAnsi="Times New Roman"/>
          <w:color w:val="FF0000"/>
          <w:szCs w:val="24"/>
        </w:rPr>
        <w:t>主要参考书</w:t>
      </w:r>
      <w:r>
        <w:rPr>
          <w:rFonts w:ascii="Times New Roman" w:hAnsi="Times New Roman"/>
          <w:color w:val="FF0000"/>
          <w:szCs w:val="24"/>
        </w:rPr>
        <w:t>：</w: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1. </w:t>
      </w:r>
      <w:r>
        <w:rPr>
          <w:rFonts w:hint="eastAsia" w:ascii="Times New Roman" w:hAnsi="Times New Roman"/>
          <w:color w:val="FF0000"/>
          <w:szCs w:val="24"/>
        </w:rPr>
        <w:t>吉卫喜</w:t>
      </w:r>
      <w:r>
        <w:rPr>
          <w:rFonts w:ascii="Times New Roman" w:hAnsi="Times New Roman"/>
          <w:color w:val="FF0000"/>
          <w:szCs w:val="24"/>
        </w:rPr>
        <w:t xml:space="preserve">. </w:t>
      </w:r>
      <w:r>
        <w:rPr>
          <w:rFonts w:hint="eastAsia" w:ascii="Times New Roman" w:hAnsi="Times New Roman"/>
          <w:color w:val="FF0000"/>
          <w:szCs w:val="24"/>
        </w:rPr>
        <w:t>机械制造技术</w:t>
      </w:r>
      <w:r>
        <w:rPr>
          <w:rFonts w:ascii="Times New Roman" w:hAnsi="Times New Roman"/>
          <w:color w:val="FF0000"/>
          <w:szCs w:val="24"/>
        </w:rPr>
        <w:t xml:space="preserve">[M]. </w:t>
      </w:r>
      <w:r>
        <w:rPr>
          <w:rFonts w:hint="eastAsia" w:ascii="Times New Roman" w:hAnsi="Times New Roman"/>
          <w:color w:val="FF0000"/>
          <w:szCs w:val="24"/>
        </w:rPr>
        <w:t>北京：机械工业出版社，</w:t>
      </w:r>
      <w:r>
        <w:rPr>
          <w:rFonts w:ascii="Times New Roman" w:hAnsi="Times New Roman"/>
          <w:color w:val="FF0000"/>
          <w:szCs w:val="24"/>
        </w:rPr>
        <w:t>2001.</w: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2. </w:t>
      </w:r>
      <w:r>
        <w:rPr>
          <w:rFonts w:hint="eastAsia" w:ascii="Times New Roman" w:hAnsi="Times New Roman"/>
          <w:color w:val="FF0000"/>
          <w:szCs w:val="24"/>
        </w:rPr>
        <w:t>黄鹤汀</w:t>
      </w:r>
      <w:r>
        <w:rPr>
          <w:rFonts w:ascii="Times New Roman" w:hAnsi="Times New Roman"/>
          <w:color w:val="FF0000"/>
          <w:szCs w:val="24"/>
        </w:rPr>
        <w:t xml:space="preserve">. </w:t>
      </w:r>
      <w:r>
        <w:rPr>
          <w:rFonts w:hint="eastAsia" w:ascii="Times New Roman" w:hAnsi="Times New Roman"/>
          <w:color w:val="FF0000"/>
          <w:szCs w:val="24"/>
        </w:rPr>
        <w:t>机械制造装备</w:t>
      </w:r>
      <w:r>
        <w:rPr>
          <w:rFonts w:ascii="Times New Roman" w:hAnsi="Times New Roman"/>
          <w:color w:val="FF0000"/>
          <w:szCs w:val="24"/>
        </w:rPr>
        <w:t xml:space="preserve">[M]. </w:t>
      </w:r>
      <w:r>
        <w:rPr>
          <w:rFonts w:hint="eastAsia" w:ascii="Times New Roman" w:hAnsi="Times New Roman"/>
          <w:color w:val="FF0000"/>
          <w:szCs w:val="24"/>
        </w:rPr>
        <w:t>北京：机械工业出版社，</w:t>
      </w:r>
      <w:r>
        <w:rPr>
          <w:rFonts w:ascii="Times New Roman" w:hAnsi="Times New Roman"/>
          <w:color w:val="FF0000"/>
          <w:szCs w:val="24"/>
        </w:rPr>
        <w:t>2001.</w:t>
      </w:r>
    </w:p>
    <w:p>
      <w:pPr>
        <w:spacing w:line="360" w:lineRule="auto"/>
        <w:ind w:firstLine="480" w:firstLineChars="20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color w:val="FF0000"/>
          <w:szCs w:val="24"/>
        </w:rPr>
        <w:t xml:space="preserve">3. </w:t>
      </w:r>
      <w:r>
        <w:rPr>
          <w:rFonts w:hint="eastAsia" w:ascii="Times New Roman" w:hAnsi="Times New Roman"/>
          <w:color w:val="FF0000"/>
          <w:szCs w:val="24"/>
        </w:rPr>
        <w:t>王贵成</w:t>
      </w:r>
      <w:r>
        <w:rPr>
          <w:rFonts w:ascii="Times New Roman" w:hAnsi="Times New Roman"/>
          <w:color w:val="FF0000"/>
          <w:szCs w:val="24"/>
        </w:rPr>
        <w:t xml:space="preserve">. </w:t>
      </w:r>
      <w:r>
        <w:rPr>
          <w:rFonts w:hint="eastAsia" w:ascii="Times New Roman" w:hAnsi="Times New Roman"/>
          <w:color w:val="FF0000"/>
          <w:szCs w:val="24"/>
        </w:rPr>
        <w:t>机械制造学</w:t>
      </w:r>
      <w:r>
        <w:rPr>
          <w:rFonts w:ascii="Times New Roman" w:hAnsi="Times New Roman"/>
          <w:color w:val="FF0000"/>
          <w:szCs w:val="24"/>
        </w:rPr>
        <w:t xml:space="preserve">[M]. </w:t>
      </w:r>
      <w:r>
        <w:rPr>
          <w:rFonts w:hint="eastAsia" w:ascii="Times New Roman" w:hAnsi="Times New Roman"/>
          <w:color w:val="FF0000"/>
          <w:szCs w:val="24"/>
        </w:rPr>
        <w:t>北京：机械工业出版社，</w:t>
      </w:r>
      <w:r>
        <w:rPr>
          <w:rFonts w:ascii="Times New Roman" w:hAnsi="Times New Roman"/>
          <w:color w:val="FF0000"/>
          <w:szCs w:val="24"/>
        </w:rPr>
        <w:t>2001.</w:t>
      </w:r>
    </w:p>
    <w:p>
      <w:pPr>
        <w:spacing w:line="360" w:lineRule="auto"/>
        <w:ind w:firstLine="482" w:firstLineChars="200"/>
        <w:rPr>
          <w:rFonts w:ascii="黑体" w:hAnsi="黑体" w:eastAsia="黑体"/>
          <w:b/>
        </w:rPr>
      </w:pPr>
    </w:p>
    <w:p>
      <w:pPr>
        <w:spacing w:line="360" w:lineRule="auto"/>
        <w:ind w:firstLine="482" w:firstLineChars="200"/>
        <w:rPr>
          <w:rFonts w:ascii="黑体" w:hAnsi="黑体" w:eastAsia="黑体"/>
          <w:b/>
        </w:rPr>
      </w:pPr>
    </w:p>
    <w:p>
      <w:pPr>
        <w:spacing w:line="360" w:lineRule="auto"/>
        <w:ind w:firstLine="482" w:firstLineChars="200"/>
        <w:rPr>
          <w:rFonts w:ascii="黑体" w:hAnsi="黑体" w:eastAsia="黑体"/>
          <w:b/>
        </w:rPr>
      </w:pPr>
    </w:p>
    <w:p>
      <w:pPr>
        <w:spacing w:line="360" w:lineRule="auto"/>
        <w:ind w:firstLine="482" w:firstLineChars="200"/>
        <w:rPr>
          <w:rFonts w:ascii="黑体" w:hAnsi="黑体" w:eastAsia="黑体"/>
          <w:b/>
          <w:szCs w:val="24"/>
        </w:rPr>
      </w:pPr>
      <w:r>
        <w:rPr>
          <w:rFonts w:hint="eastAsia" w:ascii="黑体" w:hAnsi="黑体" w:eastAsia="黑体"/>
          <w:b/>
        </w:rPr>
        <w:t>制定者：        审核人：       批准人：       制定单位（盖章）</w:t>
      </w:r>
    </w:p>
    <w:p>
      <w:pPr>
        <w:spacing w:line="360" w:lineRule="auto"/>
        <w:ind w:firstLine="482" w:firstLineChars="200"/>
        <w:rPr>
          <w:rFonts w:ascii="黑体" w:hAnsi="黑体" w:eastAsia="黑体"/>
          <w:b/>
        </w:rPr>
      </w:pPr>
      <w:r>
        <w:rPr>
          <w:rFonts w:hint="eastAsia" w:ascii="黑体" w:hAnsi="黑体" w:eastAsia="黑体"/>
          <w:b/>
        </w:rPr>
        <w:t xml:space="preserve">                                              制定日期：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  <w:lang w:val="zh-CN"/>
      </w:rPr>
      <w:t>2</w:t>
    </w:r>
    <w:r>
      <w:rPr>
        <w:rFonts w:ascii="Times New Roman" w:hAnsi="Times New Roman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889C5"/>
    <w:multiLevelType w:val="singleLevel"/>
    <w:tmpl w:val="58E889C5"/>
    <w:lvl w:ilvl="0" w:tentative="0">
      <w:start w:val="1"/>
      <w:numFmt w:val="decimal"/>
      <w:suff w:val="nothing"/>
      <w:lvlText w:val="（%1）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7728"/>
    <w:rsid w:val="000006AB"/>
    <w:rsid w:val="00076FCF"/>
    <w:rsid w:val="000956BD"/>
    <w:rsid w:val="000A4BA7"/>
    <w:rsid w:val="000A79D6"/>
    <w:rsid w:val="000B5BEE"/>
    <w:rsid w:val="000C7185"/>
    <w:rsid w:val="000D6A13"/>
    <w:rsid w:val="000E0996"/>
    <w:rsid w:val="00146090"/>
    <w:rsid w:val="00147D0A"/>
    <w:rsid w:val="00184B88"/>
    <w:rsid w:val="002177C5"/>
    <w:rsid w:val="0022374E"/>
    <w:rsid w:val="00224D6E"/>
    <w:rsid w:val="002310EF"/>
    <w:rsid w:val="002410C5"/>
    <w:rsid w:val="00276015"/>
    <w:rsid w:val="002A4517"/>
    <w:rsid w:val="002B6E86"/>
    <w:rsid w:val="002D4434"/>
    <w:rsid w:val="002E514C"/>
    <w:rsid w:val="002E6298"/>
    <w:rsid w:val="00305C74"/>
    <w:rsid w:val="00363658"/>
    <w:rsid w:val="00363B54"/>
    <w:rsid w:val="0036771C"/>
    <w:rsid w:val="003A036B"/>
    <w:rsid w:val="003A2572"/>
    <w:rsid w:val="003C1922"/>
    <w:rsid w:val="003D3D34"/>
    <w:rsid w:val="003E3CDD"/>
    <w:rsid w:val="003E520F"/>
    <w:rsid w:val="003E6E5D"/>
    <w:rsid w:val="0041748D"/>
    <w:rsid w:val="004324ED"/>
    <w:rsid w:val="00441629"/>
    <w:rsid w:val="00454721"/>
    <w:rsid w:val="00471943"/>
    <w:rsid w:val="0048329D"/>
    <w:rsid w:val="00507728"/>
    <w:rsid w:val="005357A9"/>
    <w:rsid w:val="00546B45"/>
    <w:rsid w:val="00551EF7"/>
    <w:rsid w:val="00571734"/>
    <w:rsid w:val="00583BCD"/>
    <w:rsid w:val="00590462"/>
    <w:rsid w:val="005A433F"/>
    <w:rsid w:val="005D78FB"/>
    <w:rsid w:val="00644F66"/>
    <w:rsid w:val="006766BA"/>
    <w:rsid w:val="006B0DD8"/>
    <w:rsid w:val="006B6B95"/>
    <w:rsid w:val="006D1946"/>
    <w:rsid w:val="006D7A5D"/>
    <w:rsid w:val="006E1007"/>
    <w:rsid w:val="006E2989"/>
    <w:rsid w:val="006E604C"/>
    <w:rsid w:val="00710D1A"/>
    <w:rsid w:val="00716856"/>
    <w:rsid w:val="00723EE9"/>
    <w:rsid w:val="007440D6"/>
    <w:rsid w:val="007454C0"/>
    <w:rsid w:val="00745A86"/>
    <w:rsid w:val="00797A82"/>
    <w:rsid w:val="007A4D45"/>
    <w:rsid w:val="007E0824"/>
    <w:rsid w:val="00830CE6"/>
    <w:rsid w:val="00861CE9"/>
    <w:rsid w:val="0087298A"/>
    <w:rsid w:val="00881B26"/>
    <w:rsid w:val="008A0009"/>
    <w:rsid w:val="008B2AB5"/>
    <w:rsid w:val="008D3CC8"/>
    <w:rsid w:val="008E42DA"/>
    <w:rsid w:val="0090095D"/>
    <w:rsid w:val="0093799A"/>
    <w:rsid w:val="00941734"/>
    <w:rsid w:val="00957C4A"/>
    <w:rsid w:val="00957EA7"/>
    <w:rsid w:val="009607C5"/>
    <w:rsid w:val="00962BEF"/>
    <w:rsid w:val="00970702"/>
    <w:rsid w:val="00974F42"/>
    <w:rsid w:val="009759E6"/>
    <w:rsid w:val="009D2E4A"/>
    <w:rsid w:val="009F738E"/>
    <w:rsid w:val="00A41350"/>
    <w:rsid w:val="00A72DC3"/>
    <w:rsid w:val="00A81A57"/>
    <w:rsid w:val="00A87647"/>
    <w:rsid w:val="00A92AE3"/>
    <w:rsid w:val="00AA17C9"/>
    <w:rsid w:val="00AA73E0"/>
    <w:rsid w:val="00AC45F8"/>
    <w:rsid w:val="00AE18E2"/>
    <w:rsid w:val="00B33E3C"/>
    <w:rsid w:val="00B37A56"/>
    <w:rsid w:val="00B52040"/>
    <w:rsid w:val="00B83FCB"/>
    <w:rsid w:val="00B913E5"/>
    <w:rsid w:val="00B94036"/>
    <w:rsid w:val="00BC5453"/>
    <w:rsid w:val="00BC5500"/>
    <w:rsid w:val="00BC585D"/>
    <w:rsid w:val="00BF5925"/>
    <w:rsid w:val="00C04333"/>
    <w:rsid w:val="00C04412"/>
    <w:rsid w:val="00C27B34"/>
    <w:rsid w:val="00C44F47"/>
    <w:rsid w:val="00C472E5"/>
    <w:rsid w:val="00C608BA"/>
    <w:rsid w:val="00C64FCA"/>
    <w:rsid w:val="00CB4AFA"/>
    <w:rsid w:val="00CC6827"/>
    <w:rsid w:val="00CE0BA4"/>
    <w:rsid w:val="00CF0261"/>
    <w:rsid w:val="00D13186"/>
    <w:rsid w:val="00D21C9A"/>
    <w:rsid w:val="00D36AD1"/>
    <w:rsid w:val="00D61D24"/>
    <w:rsid w:val="00D77C9D"/>
    <w:rsid w:val="00DA4044"/>
    <w:rsid w:val="00DB6AEC"/>
    <w:rsid w:val="00DC506C"/>
    <w:rsid w:val="00DD32DB"/>
    <w:rsid w:val="00DE0A1A"/>
    <w:rsid w:val="00DE3AE4"/>
    <w:rsid w:val="00E0419E"/>
    <w:rsid w:val="00E3630C"/>
    <w:rsid w:val="00E46D07"/>
    <w:rsid w:val="00E52F4E"/>
    <w:rsid w:val="00E612D7"/>
    <w:rsid w:val="00E67D6C"/>
    <w:rsid w:val="00EB3E4E"/>
    <w:rsid w:val="00EB54F5"/>
    <w:rsid w:val="00F32F17"/>
    <w:rsid w:val="00F52BC9"/>
    <w:rsid w:val="00F6311B"/>
    <w:rsid w:val="00F6463F"/>
    <w:rsid w:val="00F66F20"/>
    <w:rsid w:val="00FA5DB2"/>
    <w:rsid w:val="00FF3E23"/>
    <w:rsid w:val="371C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30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99"/>
    <w:pPr>
      <w:keepNext/>
      <w:keepLines/>
      <w:jc w:val="center"/>
      <w:outlineLvl w:val="0"/>
    </w:pPr>
    <w:rPr>
      <w:rFonts w:ascii="Times New Roman" w:hAnsi="Times New Roman"/>
      <w:b/>
      <w:bCs/>
      <w:kern w:val="44"/>
      <w:sz w:val="36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iPriority w:val="99"/>
    <w:pPr>
      <w:tabs>
        <w:tab w:val="center" w:pos="4153"/>
        <w:tab w:val="right" w:pos="8306"/>
      </w:tabs>
      <w:adjustRightInd/>
      <w:spacing w:line="240" w:lineRule="auto"/>
      <w:jc w:val="left"/>
    </w:pPr>
    <w:rPr>
      <w:rFonts w:ascii="等线" w:hAnsi="等线" w:eastAsia="等线"/>
      <w:sz w:val="18"/>
      <w:szCs w:val="18"/>
    </w:rPr>
  </w:style>
  <w:style w:type="paragraph" w:styleId="4">
    <w:name w:val="header"/>
    <w:basedOn w:val="1"/>
    <w:link w:val="8"/>
    <w:uiPriority w:val="99"/>
    <w:pPr>
      <w:pBdr>
        <w:bottom w:val="single" w:color="auto" w:sz="6" w:space="1"/>
      </w:pBdr>
      <w:tabs>
        <w:tab w:val="center" w:pos="4153"/>
        <w:tab w:val="right" w:pos="8306"/>
      </w:tabs>
      <w:adjustRightInd/>
      <w:spacing w:line="240" w:lineRule="auto"/>
      <w:jc w:val="center"/>
    </w:pPr>
    <w:rPr>
      <w:rFonts w:ascii="等线" w:hAnsi="等线" w:eastAsia="等线"/>
      <w:sz w:val="18"/>
      <w:szCs w:val="18"/>
    </w:rPr>
  </w:style>
  <w:style w:type="character" w:customStyle="1" w:styleId="7">
    <w:name w:val="标题 1 字符1"/>
    <w:link w:val="2"/>
    <w:locked/>
    <w:uiPriority w:val="99"/>
    <w:rPr>
      <w:rFonts w:ascii="Times New Roman" w:hAnsi="Times New Roman" w:eastAsia="宋体" w:cs="Times New Roman"/>
      <w:b/>
      <w:kern w:val="44"/>
      <w:sz w:val="44"/>
    </w:rPr>
  </w:style>
  <w:style w:type="character" w:customStyle="1" w:styleId="8">
    <w:name w:val="页眉 字符"/>
    <w:link w:val="4"/>
    <w:locked/>
    <w:uiPriority w:val="99"/>
    <w:rPr>
      <w:rFonts w:cs="Times New Roman"/>
      <w:sz w:val="18"/>
      <w:szCs w:val="18"/>
    </w:rPr>
  </w:style>
  <w:style w:type="character" w:customStyle="1" w:styleId="9">
    <w:name w:val="页脚 字符"/>
    <w:link w:val="3"/>
    <w:locked/>
    <w:uiPriority w:val="99"/>
    <w:rPr>
      <w:rFonts w:cs="Times New Roman"/>
      <w:sz w:val="18"/>
      <w:szCs w:val="18"/>
    </w:rPr>
  </w:style>
  <w:style w:type="character" w:customStyle="1" w:styleId="10">
    <w:name w:val="标题 1 字符"/>
    <w:uiPriority w:val="9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1">
    <w:name w:val="Char Char11"/>
    <w:uiPriority w:val="99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3.bin"/><Relationship Id="rId8" Type="http://schemas.openxmlformats.org/officeDocument/2006/relationships/image" Target="media/image2.wmf"/><Relationship Id="rId7" Type="http://schemas.openxmlformats.org/officeDocument/2006/relationships/oleObject" Target="embeddings/oleObject2.bin"/><Relationship Id="rId6" Type="http://schemas.openxmlformats.org/officeDocument/2006/relationships/image" Target="media/image1.wmf"/><Relationship Id="rId5" Type="http://schemas.openxmlformats.org/officeDocument/2006/relationships/oleObject" Target="embeddings/oleObject1.bin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404</Words>
  <Characters>2306</Characters>
  <Lines>19</Lines>
  <Paragraphs>5</Paragraphs>
  <TotalTime>0</TotalTime>
  <ScaleCrop>false</ScaleCrop>
  <LinksUpToDate>false</LinksUpToDate>
  <CharactersWithSpaces>2705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2017-09-11T02:29:00Z</dcterms:created>
  <dc:creator>think2</dc:creator>
  <cp:lastModifiedBy>Administrator</cp:lastModifiedBy>
  <cp:lastPrinted>2017-10-12T07:58:00Z</cp:lastPrinted>
  <dcterms:modified xsi:type="dcterms:W3CDTF">2020-04-16T05:57:42Z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