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288" w:lineRule="auto"/>
        <w:jc w:val="lef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附件：</w:t>
      </w:r>
      <w:r>
        <w:rPr>
          <w:rFonts w:hint="eastAsia" w:ascii="楷体" w:hAnsi="楷体" w:eastAsia="楷体" w:cs="仿宋"/>
          <w:b/>
          <w:sz w:val="28"/>
          <w:szCs w:val="28"/>
        </w:rPr>
        <w:t>　</w:t>
      </w:r>
      <w:r>
        <w:rPr>
          <w:rFonts w:ascii="楷体" w:hAnsi="楷体" w:eastAsia="楷体" w:cs="仿宋"/>
          <w:b/>
          <w:sz w:val="28"/>
          <w:szCs w:val="28"/>
        </w:rPr>
        <w:t>　　　　　　</w:t>
      </w:r>
      <w:r>
        <w:rPr>
          <w:rFonts w:ascii="仿宋" w:hAnsi="仿宋" w:eastAsia="仿宋" w:cs="仿宋"/>
          <w:b/>
          <w:sz w:val="28"/>
          <w:szCs w:val="28"/>
        </w:rPr>
        <w:t>　</w:t>
      </w:r>
    </w:p>
    <w:p>
      <w:pPr>
        <w:widowControl/>
        <w:snapToGrid w:val="0"/>
        <w:spacing w:line="288" w:lineRule="auto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赛</w:t>
      </w:r>
      <w:r>
        <w:rPr>
          <w:rFonts w:ascii="仿宋" w:hAnsi="仿宋" w:eastAsia="仿宋" w:cs="仿宋"/>
          <w:sz w:val="28"/>
          <w:szCs w:val="28"/>
        </w:rPr>
        <w:t>事指南</w:t>
      </w:r>
    </w:p>
    <w:p>
      <w:pPr>
        <w:pStyle w:val="6"/>
        <w:spacing w:line="360" w:lineRule="auto"/>
        <w:ind w:firstLine="482" w:firstLineChars="20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一</w:t>
      </w:r>
      <w:r>
        <w:rPr>
          <w:rFonts w:ascii="仿宋" w:hAnsi="仿宋" w:eastAsia="仿宋"/>
          <w:sz w:val="24"/>
          <w:szCs w:val="24"/>
        </w:rPr>
        <w:t>、</w:t>
      </w:r>
      <w:r>
        <w:rPr>
          <w:rFonts w:hint="eastAsia" w:ascii="仿宋" w:hAnsi="仿宋" w:eastAsia="仿宋"/>
          <w:sz w:val="24"/>
          <w:szCs w:val="24"/>
        </w:rPr>
        <w:t>赛事</w:t>
      </w:r>
      <w:bookmarkStart w:id="0" w:name="_GoBack"/>
      <w:bookmarkEnd w:id="0"/>
      <w:r>
        <w:rPr>
          <w:rFonts w:hint="eastAsia" w:ascii="仿宋" w:hAnsi="仿宋" w:eastAsia="仿宋"/>
          <w:sz w:val="24"/>
          <w:szCs w:val="24"/>
        </w:rPr>
        <w:t>流程与</w:t>
      </w:r>
      <w:r>
        <w:rPr>
          <w:rFonts w:ascii="仿宋" w:hAnsi="仿宋" w:eastAsia="仿宋"/>
          <w:sz w:val="24"/>
          <w:szCs w:val="24"/>
        </w:rPr>
        <w:t>要求</w:t>
      </w:r>
    </w:p>
    <w:p>
      <w:pPr>
        <w:widowControl/>
        <w:snapToGrid w:val="0"/>
        <w:spacing w:line="360" w:lineRule="auto"/>
        <w:ind w:firstLine="480" w:firstLineChars="200"/>
        <w:rPr>
          <w:rFonts w:hint="default" w:ascii="仿宋" w:hAnsi="仿宋" w:eastAsia="仿宋"/>
          <w:b/>
          <w:szCs w:val="24"/>
          <w:lang w:val="en-US" w:eastAsia="zh-CN"/>
        </w:rPr>
      </w:pPr>
      <w:r>
        <w:rPr>
          <w:rFonts w:hint="eastAsia" w:ascii="仿宋" w:hAnsi="仿宋" w:eastAsia="仿宋" w:cs="仿宋"/>
          <w:szCs w:val="24"/>
          <w:lang w:val="en-US" w:eastAsia="zh-CN"/>
        </w:rPr>
        <w:t>校内</w:t>
      </w:r>
      <w:r>
        <w:rPr>
          <w:rFonts w:hint="eastAsia" w:ascii="仿宋" w:hAnsi="仿宋" w:eastAsia="仿宋" w:cs="仿宋"/>
          <w:szCs w:val="24"/>
        </w:rPr>
        <w:t>限时现场赛：202</w:t>
      </w:r>
      <w:r>
        <w:rPr>
          <w:rFonts w:hint="eastAsia" w:ascii="仿宋" w:hAnsi="仿宋" w:eastAsia="仿宋" w:cs="仿宋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Cs w:val="24"/>
        </w:rPr>
        <w:t>年</w:t>
      </w:r>
      <w:r>
        <w:rPr>
          <w:rFonts w:hint="eastAsia" w:ascii="仿宋" w:hAnsi="仿宋" w:eastAsia="仿宋" w:cs="仿宋"/>
          <w:szCs w:val="24"/>
          <w:lang w:val="en-US" w:eastAsia="zh-CN"/>
        </w:rPr>
        <w:t>10月底</w:t>
      </w:r>
      <w:r>
        <w:rPr>
          <w:rFonts w:hint="eastAsia" w:ascii="仿宋" w:hAnsi="仿宋" w:eastAsia="仿宋" w:cs="仿宋"/>
          <w:szCs w:val="24"/>
        </w:rPr>
        <w:t>，</w:t>
      </w:r>
      <w:r>
        <w:rPr>
          <w:rFonts w:hint="eastAsia" w:ascii="仿宋" w:hAnsi="仿宋" w:eastAsia="仿宋" w:cs="仿宋"/>
          <w:szCs w:val="24"/>
          <w:lang w:val="en-US" w:eastAsia="zh-CN"/>
        </w:rPr>
        <w:t>具体时间与比赛地点将在赛事QQ群另行通知。</w:t>
      </w:r>
    </w:p>
    <w:p>
      <w:pPr>
        <w:widowControl/>
        <w:snapToGrid w:val="0"/>
        <w:spacing w:line="360" w:lineRule="auto"/>
        <w:ind w:firstLine="482" w:firstLineChars="200"/>
        <w:rPr>
          <w:rFonts w:ascii="仿宋" w:hAnsi="仿宋" w:eastAsia="仿宋" w:cs="仿宋"/>
          <w:b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zCs w:val="24"/>
          <w14:textFill>
            <w14:solidFill>
              <w14:schemeClr w14:val="tx1"/>
            </w14:solidFill>
          </w14:textFill>
        </w:rPr>
        <w:t>二、竞赛内容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（一）内容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财会技能创新大赛由参赛团队4人（一名出纳、两名会计、一名主管）组建财务工作组，根据提供的一整套工业企业某一会计期间的完整资料，在规定的时间内完成手工处理。内容包括建账、原始凭证的审核和填制；会计凭证汇总；记账凭证的编制与审核；财务报表编制；对经营核算数据进行数字化分析等。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出纳岗位操作包括：办理现金、银行结算业务、数字化业务分析等。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会计岗位操作包括：填制和审核原始凭证、编制记账凭证；计算产品成本；数字化分析等。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会计主管岗位操作包括：审核内部编制会计凭证、编制资产负债表、利润表；数字化分析等。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（二）大纲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财会技能创新大赛以制造业为背景，通过仿真原始凭证提供企业当月发生的经济业务资料，要求选手对当月经济业务进行手工处理并编制本月会计报表。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竞赛内容涉及的经济业务范围：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货币资金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（1）库存现金核算及清查。（2）银行存款核算与核对。（3）其他货币资金的核算。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应收及预付款项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（1）应收票据、应收账款、预付账款和其他应收款的核算。（2）应收款项的减值。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3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交易性金融资产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交易性金融资产的核算。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4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存货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（1）存货（原材料、库存商品、委托加工物资、周转材料）收入、发出的核算。（2）存货清查。③存货减值。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5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长期股权投资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（1）长期股权投资成本法的核算。（2）长期股权投资权益法的核算。（3）长期股权投资减值。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固定资产和投资性房地产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（1）固定资产增加、减少、折旧的核算。（2）固定资产后续支出的核算。（3）固定资产清查。（4）固定资产减值。（5）投资性房地产的取得、后续计量及处置的核算。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7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无形资产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（1）无形资产的取得、摊销及处置的核算。（2）无形资产减值。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8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其他资产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其他资产的核算。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9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流动负债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（1）短期借款的核算。（2）应付及预收款项的核算。（3）应付职工薪酬的核算。（4）应交增值税、消费税、所得税及其他应交税费的核算。（5）应付股利、应付利息及其他应付款的核算。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0.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长期负债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（1）长期借款的核算。（2）应付债券的核算。（3）长期应付款的核算。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11.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所有者权益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（1）实收资本的核算。（2）资本公积的核算。（3）留存收益的核算。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收入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（1）销售商品收入的核算。（2）提供劳务收入的核算。（3）让渡资产使用权收入的核算。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费用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（1）营业成本的核算。（2）营业税金及附加的核算。（3）期间费用的核算。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4.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产品成本核算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（1）要素费用的归集和分配。（2）生产费用在完工产品和在产品之间的归集和分配。（3）产品生产成本的计算。（4）营业外收入、营业外支出的核算。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5.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税费业务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所得税费用的核算。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6.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利润及利润分配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（1）本年利润的结转。（2）本年利润的分配。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7.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财务报表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（1）资产负债表的编制。（2）利润表的编制。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18.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出纳岗位数字化业务分析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以企业日常面临的资金问题作为出发点，运用大数据工具完成与企业资金相关的综合分析决策任务，如：资金收支分析、资金支付计划、资金预算、资金风险防控、最佳现金持有量等。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19.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经营及利润核算会计岗位数字化分析业务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基于企业生产经营过程中的业务问题，收集企业经营环节的各类数据，采用大数据+财务分析的方式进行分析、核算，完成与企业经营核算数据相关的综合分析决策任务，如：应收账款情况分析、应付账款情况分析、营业收入分析等。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20.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成本及税务核算会计岗位数字化分析业务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学生运用财务专业知识通过建模分析的方式，完成与企业成本和税务相关的综合分析决策任务，并将分析结果通过可视化的方式输出。如：费用结构分析、成本结构分析、成本管理控制、税务波动分析、税务风险防控等。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21.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会计主管岗位数字化分析业务</w:t>
      </w:r>
    </w:p>
    <w:p>
      <w:pPr>
        <w:widowControl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以大数据背景下会计主管的职能为依据，运用数据分析工具，完成与企业整体经营相关的分析决策任务，培养学生的监督、预测、决策能力，实现更精准的决策辅助。如：报表结构分析、报表趋势分析、财务指标分析、总体经营状况分析、投融资方案决策等。</w:t>
      </w:r>
    </w:p>
    <w:p>
      <w:pPr>
        <w:widowControl/>
        <w:numPr>
          <w:ilvl w:val="0"/>
          <w:numId w:val="1"/>
        </w:numPr>
        <w:snapToGrid w:val="0"/>
        <w:spacing w:line="360" w:lineRule="auto"/>
        <w:ind w:firstLine="482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zCs w:val="24"/>
          <w14:textFill>
            <w14:solidFill>
              <w14:schemeClr w14:val="tx1"/>
            </w14:solidFill>
          </w14:textFill>
        </w:rPr>
        <w:t>评分标准</w:t>
      </w:r>
    </w:p>
    <w:tbl>
      <w:tblPr>
        <w:tblStyle w:val="7"/>
        <w:tblW w:w="86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2"/>
        <w:gridCol w:w="4995"/>
        <w:gridCol w:w="735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  <w:t>项目任务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  <w:t>评分内容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  <w:t>分值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  <w:t>占比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  <w:t>结果提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color w:val="36363D"/>
                <w:kern w:val="0"/>
                <w:sz w:val="24"/>
                <w:szCs w:val="24"/>
                <w:highlight w:val="none"/>
              </w:rPr>
              <w:t>交方式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其他业务处理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办理现金支票提现、转账支票倒送、商业汇票背书等。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记账凭证的编制与审核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记账凭证编制、记账凭证审核、相关签名盖章。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100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资产负债表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编制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表头的填写；报表各项目指标的计算与填写。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利润表编制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表头的填写；报表各项目指标的计算与填写。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30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编制纳税申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报表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编制所得税、增值税、地方税申报表。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产品成本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计算单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成本计算。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40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91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数字化分析业务</w:t>
            </w: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获取数据：以企业日常经营生产活动为问题导向，利用内置的python工具收集财税资料和各个岗位的核算数据。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9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数据处理：将收集的核算数据运用商务智能分析工具进行包括数据清洗、数据集成、数据标准化处理等数据处理。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40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91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数据分析：结合案例背景及问题，运用专业的财务知识，多角度选择分析指标，确定合适的数字分析模型，建模分析案例企业面临的问题。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60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  <w:jc w:val="center"/>
        </w:trPr>
        <w:tc>
          <w:tcPr>
            <w:tcW w:w="19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4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数据可视化：运用平台内置的可视化工具，将数据分析结果以可视化的形式呈现，最终输出企业的分析决策。</w:t>
            </w:r>
          </w:p>
        </w:tc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40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电子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9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firstLine="2256" w:firstLineChars="940"/>
              <w:jc w:val="left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合   计</w:t>
            </w:r>
          </w:p>
        </w:tc>
        <w:tc>
          <w:tcPr>
            <w:tcW w:w="735" w:type="dxa"/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  <w:t>400</w:t>
            </w:r>
          </w:p>
        </w:tc>
        <w:tc>
          <w:tcPr>
            <w:tcW w:w="1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center"/>
              <w:rPr>
                <w:rFonts w:hint="eastAsia" w:ascii="仿宋" w:hAnsi="仿宋" w:eastAsia="仿宋" w:cs="仿宋"/>
                <w:color w:val="36363D"/>
                <w:kern w:val="0"/>
                <w:sz w:val="24"/>
                <w:szCs w:val="24"/>
                <w:highlight w:val="none"/>
              </w:rPr>
            </w:pPr>
          </w:p>
        </w:tc>
      </w:tr>
    </w:tbl>
    <w:p>
      <w:pPr>
        <w:widowControl/>
        <w:snapToGrid w:val="0"/>
        <w:spacing w:line="360" w:lineRule="auto"/>
        <w:ind w:firstLine="482" w:firstLineChars="200"/>
        <w:rPr>
          <w:rFonts w:ascii="仿宋" w:hAnsi="仿宋" w:eastAsia="仿宋" w:cs="仿宋"/>
          <w:b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color w:val="000000" w:themeColor="text1"/>
          <w:szCs w:val="24"/>
          <w14:textFill>
            <w14:solidFill>
              <w14:schemeClr w14:val="tx1"/>
            </w14:solidFill>
          </w14:textFill>
        </w:rPr>
        <w:t>四、奖项设置</w:t>
      </w:r>
    </w:p>
    <w:p>
      <w:pPr>
        <w:widowControl/>
        <w:snapToGrid w:val="0"/>
        <w:spacing w:line="360" w:lineRule="auto"/>
        <w:ind w:firstLine="480" w:firstLineChars="200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（一）本次比赛根据选手表现设置奖项，原则上一等奖获奖比例不超过参赛选手的</w:t>
      </w:r>
      <w:r>
        <w:rPr>
          <w:rFonts w:hint="eastAsia" w:ascii="仿宋" w:hAnsi="仿宋" w:eastAsia="仿宋" w:cs="仿宋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%，二等奖的获奖比例不超过参赛选手的1</w:t>
      </w:r>
      <w:r>
        <w:rPr>
          <w:rFonts w:hint="eastAsia" w:ascii="仿宋" w:hAnsi="仿宋" w:eastAsia="仿宋" w:cs="仿宋"/>
          <w:color w:val="000000" w:themeColor="text1"/>
          <w:szCs w:val="24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  <w:t>%，三等奖的获奖比例不超过参赛选手的20%，并授予荣誉证书。</w:t>
      </w:r>
    </w:p>
    <w:p>
      <w:pPr>
        <w:pStyle w:val="6"/>
        <w:spacing w:line="360" w:lineRule="auto"/>
        <w:ind w:firstLine="480" w:firstLineChars="200"/>
        <w:jc w:val="left"/>
        <w:rPr>
          <w:rFonts w:ascii="仿宋" w:hAnsi="仿宋" w:eastAsia="仿宋" w:cs="仿宋"/>
          <w:color w:val="000000" w:themeColor="text1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color w:val="000000" w:themeColor="text1"/>
          <w:kern w:val="2"/>
          <w:sz w:val="24"/>
          <w:szCs w:val="24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" w:hAnsi="仿宋" w:eastAsia="仿宋" w:cs="仿宋"/>
          <w:b w:val="0"/>
          <w:color w:val="000000" w:themeColor="text1"/>
          <w:kern w:val="2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省赛选拔以校赛各岗位成绩排名为主要参考标准，并结合后期训练时间综合确定。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宋体..昀瀕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14518577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1FE4AC"/>
    <w:multiLevelType w:val="singleLevel"/>
    <w:tmpl w:val="3B1FE4AC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yZjRmOTc2OGQwMGZhZGU2MTU0NGMyMjc2ZDIzZWEifQ=="/>
  </w:docVars>
  <w:rsids>
    <w:rsidRoot w:val="008422F7"/>
    <w:rsid w:val="000314A8"/>
    <w:rsid w:val="001B29A3"/>
    <w:rsid w:val="00261DAD"/>
    <w:rsid w:val="002750B0"/>
    <w:rsid w:val="002E247E"/>
    <w:rsid w:val="00410585"/>
    <w:rsid w:val="00457E27"/>
    <w:rsid w:val="00575232"/>
    <w:rsid w:val="005960A3"/>
    <w:rsid w:val="00672EAB"/>
    <w:rsid w:val="006B6ACB"/>
    <w:rsid w:val="006E32B6"/>
    <w:rsid w:val="0076532F"/>
    <w:rsid w:val="0079424C"/>
    <w:rsid w:val="00795128"/>
    <w:rsid w:val="008422F7"/>
    <w:rsid w:val="008913CA"/>
    <w:rsid w:val="008E796A"/>
    <w:rsid w:val="00902A8F"/>
    <w:rsid w:val="00952BC9"/>
    <w:rsid w:val="00972F1F"/>
    <w:rsid w:val="00981F07"/>
    <w:rsid w:val="00A87B4F"/>
    <w:rsid w:val="00AC4143"/>
    <w:rsid w:val="00AE6121"/>
    <w:rsid w:val="00B307A9"/>
    <w:rsid w:val="00B755CE"/>
    <w:rsid w:val="00B81993"/>
    <w:rsid w:val="00BB7A93"/>
    <w:rsid w:val="00BE662A"/>
    <w:rsid w:val="00C52EFE"/>
    <w:rsid w:val="00C62AE6"/>
    <w:rsid w:val="00C82CDF"/>
    <w:rsid w:val="00CB2420"/>
    <w:rsid w:val="00CF4BDE"/>
    <w:rsid w:val="00E275AE"/>
    <w:rsid w:val="00E37A57"/>
    <w:rsid w:val="00EA308C"/>
    <w:rsid w:val="00FE2BF4"/>
    <w:rsid w:val="040F7F47"/>
    <w:rsid w:val="06DC2725"/>
    <w:rsid w:val="1763479D"/>
    <w:rsid w:val="1E4001E8"/>
    <w:rsid w:val="314174A5"/>
    <w:rsid w:val="39C80763"/>
    <w:rsid w:val="3DCB0822"/>
    <w:rsid w:val="3F461EB4"/>
    <w:rsid w:val="3FA00ACD"/>
    <w:rsid w:val="40413C20"/>
    <w:rsid w:val="41A47AEC"/>
    <w:rsid w:val="48910051"/>
    <w:rsid w:val="4A730277"/>
    <w:rsid w:val="4D6F6CCA"/>
    <w:rsid w:val="506643DA"/>
    <w:rsid w:val="5BEF17C4"/>
    <w:rsid w:val="5CE2128D"/>
    <w:rsid w:val="5D2B2C34"/>
    <w:rsid w:val="61475B62"/>
    <w:rsid w:val="6417099C"/>
    <w:rsid w:val="68BE2BAE"/>
    <w:rsid w:val="6B767770"/>
    <w:rsid w:val="6C3D61EF"/>
    <w:rsid w:val="6EBD395E"/>
    <w:rsid w:val="719E5242"/>
    <w:rsid w:val="76CC0B8C"/>
    <w:rsid w:val="7A74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eastAsia="宋体"/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link w:val="11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kern w:val="0"/>
      <w:sz w:val="32"/>
      <w:szCs w:val="32"/>
    </w:r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标题 Char"/>
    <w:basedOn w:val="8"/>
    <w:link w:val="6"/>
    <w:qFormat/>
    <w:uiPriority w:val="0"/>
    <w:rPr>
      <w:rFonts w:ascii="Cambria" w:hAnsi="Cambria" w:eastAsia="宋体" w:cs="Times New Roman"/>
      <w:b/>
      <w:kern w:val="0"/>
      <w:sz w:val="32"/>
      <w:szCs w:val="32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.昀瀕.." w:eastAsia="宋体..昀瀕.." w:cs="宋体..昀瀕.." w:hAnsiTheme="minorHAnsi"/>
      <w:color w:val="000000"/>
      <w:sz w:val="24"/>
      <w:szCs w:val="24"/>
      <w:lang w:val="en-US" w:eastAsia="zh-CN" w:bidi="ar-SA"/>
    </w:rPr>
  </w:style>
  <w:style w:type="character" w:customStyle="1" w:styleId="13">
    <w:name w:val="批注框文本 Char"/>
    <w:basedOn w:val="8"/>
    <w:link w:val="3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2151</Words>
  <Characters>2212</Characters>
  <Lines>12</Lines>
  <Paragraphs>3</Paragraphs>
  <TotalTime>2</TotalTime>
  <ScaleCrop>false</ScaleCrop>
  <LinksUpToDate>false</LinksUpToDate>
  <CharactersWithSpaces>2223</CharactersWithSpaces>
  <Application>WPS Office_11.1.0.12155_F1E327BC-269C-435d-A152-05C5408002CA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2020-09-12T14:50:00Z</dcterms:created>
  <dc:creator>赵燕</dc:creator>
  <cp:lastModifiedBy>李兰</cp:lastModifiedBy>
  <dcterms:modified xsi:type="dcterms:W3CDTF">2023-09-22T03:04:59Z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2052-11.1.0.12155</vt:lpwstr>
  </property>
  <property fmtid="{D5CDD505-2E9C-101B-9397-08002B2CF9AE}" pid="3" name="ICV">
    <vt:lpwstr>DF8ADE0A9F9E4265B185698E5F662AC3_13</vt:lpwstr>
  </property>
</Properties>
</file>