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before="0" w:after="0" w:line="300" w:lineRule="auto"/>
        <w:rPr>
          <w:rFonts w:ascii="黑体" w:hAnsi="黑体" w:eastAsia="黑体" w:cs="Times New Roman"/>
          <w:b w:val="0"/>
          <w:sz w:val="24"/>
        </w:rPr>
      </w:pPr>
      <w:bookmarkStart w:id="0" w:name="_Hlk84515383"/>
      <w:bookmarkEnd w:id="0"/>
      <w:bookmarkStart w:id="1" w:name="_Toc102337676"/>
    </w:p>
    <w:p>
      <w:pPr>
        <w:pStyle w:val="2"/>
        <w:spacing w:before="312" w:beforeLines="100" w:after="312" w:afterLines="100" w:line="300" w:lineRule="auto"/>
        <w:jc w:val="center"/>
        <w:rPr>
          <w:rFonts w:ascii="黑体" w:hAnsi="黑体" w:eastAsia="黑体" w:cs="Times New Roman"/>
          <w:b w:val="0"/>
          <w:sz w:val="36"/>
          <w:szCs w:val="36"/>
        </w:rPr>
      </w:pPr>
      <w:bookmarkStart w:id="169" w:name="_GoBack"/>
      <w:bookmarkEnd w:id="169"/>
      <w:r>
        <w:rPr>
          <w:rFonts w:ascii="黑体" w:hAnsi="黑体" w:eastAsia="黑体" w:cs="Times New Roman"/>
          <w:b w:val="0"/>
          <w:sz w:val="36"/>
          <w:szCs w:val="36"/>
        </w:rPr>
        <w:t>《国际贸易实务》</w:t>
      </w:r>
      <w:bookmarkEnd w:id="1"/>
    </w:p>
    <w:p>
      <w:pPr>
        <w:spacing w:line="300" w:lineRule="auto"/>
        <w:jc w:val="center"/>
        <w:rPr>
          <w:rFonts w:ascii="楷体" w:hAnsi="楷体" w:eastAsia="楷体" w:cs="Times New Roman"/>
          <w:color w:val="000000" w:themeColor="text1"/>
          <w:sz w:val="28"/>
          <w:szCs w:val="28"/>
          <w14:textFill>
            <w14:solidFill>
              <w14:schemeClr w14:val="tx1"/>
            </w14:solidFill>
          </w14:textFill>
        </w:rPr>
      </w:pPr>
      <w:r>
        <w:rPr>
          <w:rFonts w:ascii="楷体" w:hAnsi="楷体" w:eastAsia="楷体" w:cs="Times New Roman"/>
          <w:color w:val="000000" w:themeColor="text1"/>
          <w:sz w:val="28"/>
          <w:szCs w:val="28"/>
          <w14:textFill>
            <w14:solidFill>
              <w14:schemeClr w14:val="tx1"/>
            </w14:solidFill>
          </w14:textFill>
        </w:rPr>
        <w:t>周文君</w:t>
      </w:r>
    </w:p>
    <w:p>
      <w:pPr>
        <w:spacing w:line="300" w:lineRule="auto"/>
        <w:jc w:val="center"/>
        <w:rPr>
          <w:rFonts w:ascii="楷体" w:hAnsi="楷体" w:eastAsia="楷体" w:cs="Times New Roman"/>
          <w:color w:val="000000" w:themeColor="text1"/>
          <w:sz w:val="28"/>
          <w:szCs w:val="28"/>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drawing>
          <wp:anchor distT="0" distB="0" distL="114300" distR="114300" simplePos="0" relativeHeight="251659264" behindDoc="0" locked="0" layoutInCell="1" allowOverlap="1">
            <wp:simplePos x="0" y="0"/>
            <wp:positionH relativeFrom="column">
              <wp:posOffset>-59690</wp:posOffset>
            </wp:positionH>
            <wp:positionV relativeFrom="paragraph">
              <wp:posOffset>495935</wp:posOffset>
            </wp:positionV>
            <wp:extent cx="5274310" cy="1715135"/>
            <wp:effectExtent l="133350" t="95250" r="116840" b="1028065"/>
            <wp:wrapTopAndBottom/>
            <wp:docPr id="12329" name="图片 12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9" name="图片 12329"/>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274310" cy="1715135"/>
                    </a:xfrm>
                    <a:prstGeom prst="rect">
                      <a:avLst/>
                    </a:prstGeom>
                    <a:effectLst>
                      <a:outerShdw blurRad="63500" sx="102000" sy="102000" algn="ctr" rotWithShape="0">
                        <a:prstClr val="black">
                          <a:alpha val="40000"/>
                        </a:prstClr>
                      </a:outerShdw>
                      <a:reflection blurRad="6350" stA="50000" endA="300" endPos="55500" dist="50800" dir="5400000" sy="-100000" algn="bl" rotWithShape="0"/>
                    </a:effectLst>
                  </pic:spPr>
                </pic:pic>
              </a:graphicData>
            </a:graphic>
          </wp:anchor>
        </w:drawing>
      </w:r>
      <w:r>
        <w:rPr>
          <w:rFonts w:ascii="楷体" w:hAnsi="楷体" w:eastAsia="楷体" w:cs="Times New Roman"/>
          <w:color w:val="000000" w:themeColor="text1"/>
          <w:sz w:val="28"/>
          <w:szCs w:val="28"/>
          <w14:textFill>
            <w14:solidFill>
              <w14:schemeClr w14:val="tx1"/>
            </w14:solidFill>
          </w14:textFill>
        </w:rPr>
        <w:t>管理工程学院</w:t>
      </w:r>
    </w:p>
    <w:p>
      <w:pPr>
        <w:tabs>
          <w:tab w:val="left" w:pos="312"/>
        </w:tabs>
        <w:spacing w:before="312" w:beforeLines="100" w:after="312" w:afterLines="100" w:line="300" w:lineRule="auto"/>
        <w:outlineLvl w:val="0"/>
        <w:rPr>
          <w:rFonts w:ascii="黑体" w:hAnsi="黑体" w:eastAsia="黑体" w:cs="Times New Roman"/>
          <w:bCs/>
          <w:sz w:val="32"/>
          <w:szCs w:val="32"/>
        </w:rPr>
      </w:pPr>
      <w:bookmarkStart w:id="2" w:name="_Toc89440956"/>
      <w:bookmarkStart w:id="3" w:name="_Toc101980920"/>
      <w:bookmarkStart w:id="4" w:name="_Toc85097213"/>
      <w:bookmarkStart w:id="5" w:name="_Toc89439450"/>
      <w:bookmarkStart w:id="6" w:name="_Toc102337677"/>
      <w:bookmarkStart w:id="7" w:name="_Toc82109010"/>
      <w:r>
        <w:rPr>
          <w:rFonts w:ascii="黑体" w:hAnsi="黑体" w:eastAsia="黑体" w:cs="Times New Roman"/>
          <w:bCs/>
          <w:sz w:val="32"/>
          <w:szCs w:val="32"/>
        </w:rPr>
        <w:t>1 案例概述</w:t>
      </w:r>
      <w:bookmarkEnd w:id="2"/>
      <w:bookmarkEnd w:id="3"/>
      <w:bookmarkEnd w:id="4"/>
      <w:bookmarkEnd w:id="5"/>
      <w:bookmarkEnd w:id="6"/>
      <w:bookmarkEnd w:id="7"/>
    </w:p>
    <w:p>
      <w:pPr>
        <w:spacing w:line="30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《国际贸易实务》课程主要采用基于智慧教学平台的线上学习+情景学习+线下翻转课堂的线上线下混合式教学模式。辅以采用</w:t>
      </w:r>
      <w:r>
        <w:rPr>
          <w:rFonts w:hint="eastAsia" w:ascii="Times New Roman" w:hAnsi="Times New Roman" w:eastAsia="宋体" w:cs="Times New Roman"/>
          <w:color w:val="000000" w:themeColor="text1"/>
          <w:sz w:val="24"/>
          <w14:textFill>
            <w14:solidFill>
              <w14:schemeClr w14:val="tx1"/>
            </w14:solidFill>
          </w14:textFill>
        </w:rPr>
        <w:t>“</w:t>
      </w:r>
      <w:r>
        <w:rPr>
          <w:rFonts w:ascii="Times New Roman" w:hAnsi="Times New Roman" w:eastAsia="宋体" w:cs="Times New Roman"/>
          <w:color w:val="000000" w:themeColor="text1"/>
          <w:sz w:val="24"/>
          <w14:textFill>
            <w14:solidFill>
              <w14:schemeClr w14:val="tx1"/>
            </w14:solidFill>
          </w14:textFill>
        </w:rPr>
        <w:t>情景学习</w:t>
      </w:r>
      <w:r>
        <w:rPr>
          <w:rFonts w:hint="eastAsia" w:ascii="Times New Roman" w:hAnsi="Times New Roman" w:eastAsia="宋体" w:cs="Times New Roman"/>
          <w:color w:val="000000" w:themeColor="text1"/>
          <w:sz w:val="24"/>
          <w14:textFill>
            <w14:solidFill>
              <w14:schemeClr w14:val="tx1"/>
            </w14:solidFill>
          </w14:textFill>
        </w:rPr>
        <w:t>”</w:t>
      </w:r>
      <w:r>
        <w:rPr>
          <w:rFonts w:ascii="Times New Roman" w:hAnsi="Times New Roman" w:eastAsia="宋体" w:cs="Times New Roman"/>
          <w:color w:val="000000" w:themeColor="text1"/>
          <w:sz w:val="24"/>
          <w14:textFill>
            <w14:solidFill>
              <w14:schemeClr w14:val="tx1"/>
            </w14:solidFill>
          </w14:textFill>
        </w:rPr>
        <w:t>教学方法，主要是基于线上智慧教学平台和线下智慧教室，课前、课中、课后三个步骤，教师巧设情境，应用多种教学工具开展教学，充分发挥引导作用，让学生通过角色扮演强化主体意识。</w:t>
      </w:r>
    </w:p>
    <w:p>
      <w:pPr>
        <w:spacing w:line="30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国际贸易实务》是国际贸易及相关专业的一门专业基础课和核心课，具有重要的地位。在深度学习理论指导下，学习者应从浅层认知阶段上升至深层认知建构与迁移阶段，而本课程教学设计也应改变传统教学理念，从整体性、实践性与岗位性三个视角贯彻深度教学理念，培养学习者应用、分析、创造等高阶能力。国际贸易实务课堂的情境教学应以某一企业真实的外贸故事为背景，根据进出口业务流程设计紧扣实际的外贸情境，让学生扮演相关角色完成各情境下设定的相应任务，真正掌握理论知识，提高实践操作技能，并能用批判性思维解决实际问题。在这种教学方法下，教师指导与学生主导相结合，让学生自己亲手操作处理各项任务，包括信息收集、方案设计、情境任务实施及评价等，调动学生参与性、主动性和积极性，教师</w:t>
      </w:r>
      <w:r>
        <w:rPr>
          <w:rFonts w:hint="eastAsia" w:ascii="Times New Roman" w:hAnsi="Times New Roman" w:eastAsia="宋体" w:cs="Times New Roman"/>
          <w:color w:val="000000" w:themeColor="text1"/>
          <w:sz w:val="24"/>
          <w14:textFill>
            <w14:solidFill>
              <w14:schemeClr w14:val="tx1"/>
            </w14:solidFill>
          </w14:textFill>
        </w:rPr>
        <w:t>帮助</w:t>
      </w:r>
      <w:r>
        <w:rPr>
          <w:rFonts w:ascii="Times New Roman" w:hAnsi="Times New Roman" w:eastAsia="宋体" w:cs="Times New Roman"/>
          <w:color w:val="000000" w:themeColor="text1"/>
          <w:sz w:val="24"/>
          <w14:textFill>
            <w14:solidFill>
              <w14:schemeClr w14:val="tx1"/>
            </w14:solidFill>
          </w14:textFill>
        </w:rPr>
        <w:t>学生对知识理解与运用，且全程扮演</w:t>
      </w:r>
      <w:r>
        <w:rPr>
          <w:rFonts w:hint="eastAsia" w:ascii="Times New Roman" w:hAnsi="Times New Roman" w:eastAsia="宋体" w:cs="Times New Roman"/>
          <w:color w:val="000000" w:themeColor="text1"/>
          <w:sz w:val="24"/>
          <w14:textFill>
            <w14:solidFill>
              <w14:schemeClr w14:val="tx1"/>
            </w14:solidFill>
          </w14:textFill>
        </w:rPr>
        <w:t>“</w:t>
      </w:r>
      <w:r>
        <w:rPr>
          <w:rFonts w:ascii="Times New Roman" w:hAnsi="Times New Roman" w:eastAsia="宋体" w:cs="Times New Roman"/>
          <w:color w:val="000000" w:themeColor="text1"/>
          <w:sz w:val="24"/>
          <w14:textFill>
            <w14:solidFill>
              <w14:schemeClr w14:val="tx1"/>
            </w14:solidFill>
          </w14:textFill>
        </w:rPr>
        <w:t>知识引导者</w:t>
      </w:r>
      <w:r>
        <w:rPr>
          <w:rFonts w:hint="eastAsia" w:ascii="Times New Roman" w:hAnsi="Times New Roman" w:eastAsia="宋体" w:cs="Times New Roman"/>
          <w:color w:val="000000" w:themeColor="text1"/>
          <w:sz w:val="24"/>
          <w14:textFill>
            <w14:solidFill>
              <w14:schemeClr w14:val="tx1"/>
            </w14:solidFill>
          </w14:textFill>
        </w:rPr>
        <w:t>”</w:t>
      </w:r>
      <w:r>
        <w:rPr>
          <w:rFonts w:ascii="Times New Roman" w:hAnsi="Times New Roman" w:eastAsia="宋体" w:cs="Times New Roman"/>
          <w:color w:val="000000" w:themeColor="text1"/>
          <w:sz w:val="24"/>
          <w14:textFill>
            <w14:solidFill>
              <w14:schemeClr w14:val="tx1"/>
            </w14:solidFill>
          </w14:textFill>
        </w:rPr>
        <w:t>角色。其间学生通过完成各项工作任务掌握专业知识和培养自身实际操作能力，并有效培养批判性思维与发散思维。</w:t>
      </w:r>
    </w:p>
    <w:p>
      <w:pPr>
        <w:spacing w:line="30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在国际贸易实务教学中，为导向深度学习，以企业真实案例为背景，进行情境式教学活动设计，设置课前知识浅层学习、课中知识深度加工以及课后知识拓展迁移等三个阶段以及多元化评价体系与标准，促使学生学以致用，专业知识、综合能力与素质有机融合，以提高其自主学习与问题解决能力</w:t>
      </w:r>
      <w:r>
        <w:rPr>
          <w:rFonts w:hint="eastAsia" w:ascii="Times New Roman" w:hAnsi="Times New Roman" w:eastAsia="宋体" w:cs="Times New Roman"/>
          <w:color w:val="000000" w:themeColor="text1"/>
          <w:sz w:val="24"/>
          <w14:textFill>
            <w14:solidFill>
              <w14:schemeClr w14:val="tx1"/>
            </w14:solidFill>
          </w14:textFill>
        </w:rPr>
        <w:t>。</w:t>
      </w:r>
    </w:p>
    <w:p>
      <w:pPr>
        <w:spacing w:line="300" w:lineRule="auto"/>
        <w:rPr>
          <w:rFonts w:ascii="Times New Roman" w:hAnsi="Times New Roman" w:eastAsia="宋体" w:cs="Times New Roman"/>
          <w:color w:val="000000" w:themeColor="text1"/>
          <w:sz w:val="24"/>
          <w14:textFill>
            <w14:solidFill>
              <w14:schemeClr w14:val="tx1"/>
            </w14:solidFill>
          </w14:textFill>
        </w:rPr>
      </w:pPr>
    </w:p>
    <w:p>
      <w:pPr>
        <w:tabs>
          <w:tab w:val="left" w:pos="312"/>
        </w:tabs>
        <w:spacing w:before="312" w:beforeLines="100" w:after="312" w:afterLines="100" w:line="300" w:lineRule="auto"/>
        <w:outlineLvl w:val="0"/>
        <w:rPr>
          <w:rFonts w:ascii="黑体" w:hAnsi="黑体" w:eastAsia="黑体" w:cs="Times New Roman"/>
          <w:bCs/>
          <w:sz w:val="32"/>
          <w:szCs w:val="32"/>
        </w:rPr>
      </w:pPr>
      <w:bookmarkStart w:id="8" w:name="_Toc102337678"/>
      <w:bookmarkStart w:id="9" w:name="_Toc101980921"/>
      <w:bookmarkStart w:id="10" w:name="_Toc82109011"/>
      <w:bookmarkStart w:id="11" w:name="_Toc89439451"/>
      <w:bookmarkStart w:id="12" w:name="_Toc89440957"/>
      <w:bookmarkStart w:id="13" w:name="_Toc85097214"/>
      <w:r>
        <w:rPr>
          <w:rFonts w:hint="eastAsia" w:ascii="黑体" w:hAnsi="黑体" w:eastAsia="黑体" w:cs="Times New Roman"/>
          <w:bCs/>
          <w:sz w:val="32"/>
          <w:szCs w:val="32"/>
        </w:rPr>
        <w:t>2</w:t>
      </w:r>
      <w:r>
        <w:rPr>
          <w:rFonts w:ascii="黑体" w:hAnsi="黑体" w:eastAsia="黑体" w:cs="Times New Roman"/>
          <w:bCs/>
          <w:sz w:val="32"/>
          <w:szCs w:val="32"/>
        </w:rPr>
        <w:t xml:space="preserve"> 课程概况</w:t>
      </w:r>
      <w:bookmarkEnd w:id="8"/>
      <w:bookmarkEnd w:id="9"/>
      <w:bookmarkEnd w:id="10"/>
      <w:bookmarkEnd w:id="11"/>
      <w:bookmarkEnd w:id="12"/>
      <w:bookmarkEnd w:id="13"/>
    </w:p>
    <w:p>
      <w:pPr>
        <w:pStyle w:val="3"/>
        <w:spacing w:before="0" w:after="0" w:line="300" w:lineRule="auto"/>
        <w:rPr>
          <w:rFonts w:ascii="楷体" w:hAnsi="楷体" w:eastAsia="楷体" w:cs="Times New Roman"/>
          <w:sz w:val="28"/>
          <w:szCs w:val="21"/>
        </w:rPr>
      </w:pPr>
      <w:bookmarkStart w:id="14" w:name="_Toc101980922"/>
      <w:bookmarkStart w:id="15" w:name="_Toc82109012"/>
      <w:bookmarkStart w:id="16" w:name="_Toc89440958"/>
      <w:bookmarkStart w:id="17" w:name="_Toc102337679"/>
      <w:bookmarkStart w:id="18" w:name="_Toc85097215"/>
      <w:bookmarkStart w:id="19" w:name="_Toc89439452"/>
      <w:r>
        <w:rPr>
          <w:rFonts w:ascii="楷体" w:hAnsi="楷体" w:eastAsia="楷体" w:cs="Times New Roman"/>
          <w:sz w:val="28"/>
          <w:szCs w:val="21"/>
        </w:rPr>
        <w:t>2.1 课程基本信息</w:t>
      </w:r>
      <w:bookmarkEnd w:id="14"/>
      <w:bookmarkEnd w:id="15"/>
      <w:bookmarkEnd w:id="16"/>
      <w:bookmarkEnd w:id="17"/>
      <w:bookmarkEnd w:id="18"/>
      <w:bookmarkEnd w:id="19"/>
    </w:p>
    <w:p>
      <w:pPr>
        <w:widowControl/>
        <w:spacing w:line="300" w:lineRule="auto"/>
        <w:jc w:val="left"/>
        <w:rPr>
          <w:rFonts w:ascii="Times New Roman" w:hAnsi="Times New Roman" w:eastAsia="宋体" w:cs="Times New Roman"/>
          <w:color w:val="000000" w:themeColor="text1"/>
          <w:kern w:val="0"/>
          <w:sz w:val="24"/>
          <w14:textFill>
            <w14:solidFill>
              <w14:schemeClr w14:val="tx1"/>
            </w14:solidFill>
          </w14:textFill>
        </w:rPr>
      </w:pPr>
      <w:r>
        <w:rPr>
          <w:rFonts w:ascii="Times New Roman" w:hAnsi="Times New Roman" w:eastAsia="宋体" w:cs="Times New Roman"/>
          <w:b/>
          <w:color w:val="000000" w:themeColor="text1"/>
          <w:kern w:val="0"/>
          <w:sz w:val="24"/>
          <w14:textFill>
            <w14:solidFill>
              <w14:schemeClr w14:val="tx1"/>
            </w14:solidFill>
          </w14:textFill>
        </w:rPr>
        <w:t>课程名称：</w:t>
      </w:r>
      <w:r>
        <w:rPr>
          <w:rFonts w:ascii="Times New Roman" w:hAnsi="Times New Roman" w:eastAsia="宋体" w:cs="Times New Roman"/>
          <w:color w:val="000000" w:themeColor="text1"/>
          <w:kern w:val="0"/>
          <w:sz w:val="24"/>
          <w14:textFill>
            <w14:solidFill>
              <w14:schemeClr w14:val="tx1"/>
            </w14:solidFill>
          </w14:textFill>
        </w:rPr>
        <w:t>国际贸易实务</w:t>
      </w:r>
    </w:p>
    <w:p>
      <w:pPr>
        <w:widowControl/>
        <w:spacing w:line="300" w:lineRule="auto"/>
        <w:jc w:val="left"/>
        <w:rPr>
          <w:rFonts w:ascii="Times New Roman" w:hAnsi="Times New Roman" w:eastAsia="宋体" w:cs="Times New Roman"/>
          <w:color w:val="000000" w:themeColor="text1"/>
          <w:kern w:val="0"/>
          <w:sz w:val="24"/>
          <w14:textFill>
            <w14:solidFill>
              <w14:schemeClr w14:val="tx1"/>
            </w14:solidFill>
          </w14:textFill>
        </w:rPr>
      </w:pPr>
      <w:r>
        <w:rPr>
          <w:rFonts w:ascii="Times New Roman" w:hAnsi="Times New Roman" w:eastAsia="宋体" w:cs="Times New Roman"/>
          <w:b/>
          <w:color w:val="000000" w:themeColor="text1"/>
          <w:kern w:val="0"/>
          <w:sz w:val="24"/>
          <w14:textFill>
            <w14:solidFill>
              <w14:schemeClr w14:val="tx1"/>
            </w14:solidFill>
          </w14:textFill>
        </w:rPr>
        <w:t>混合式设计学时：</w:t>
      </w:r>
      <w:r>
        <w:rPr>
          <w:rFonts w:ascii="Times New Roman" w:hAnsi="Times New Roman" w:eastAsia="宋体" w:cs="Times New Roman"/>
          <w:bCs/>
          <w:color w:val="000000" w:themeColor="text1"/>
          <w:kern w:val="0"/>
          <w:sz w:val="24"/>
          <w14:textFill>
            <w14:solidFill>
              <w14:schemeClr w14:val="tx1"/>
            </w14:solidFill>
          </w14:textFill>
        </w:rPr>
        <w:t>教学计划64学时（理论40+实验24），线上25学时</w:t>
      </w:r>
    </w:p>
    <w:p>
      <w:pPr>
        <w:widowControl/>
        <w:spacing w:line="300" w:lineRule="auto"/>
        <w:jc w:val="left"/>
        <w:rPr>
          <w:rFonts w:ascii="Times New Roman" w:hAnsi="Times New Roman" w:eastAsia="宋体" w:cs="Times New Roman"/>
          <w:color w:val="000000" w:themeColor="text1"/>
          <w:kern w:val="0"/>
          <w:sz w:val="24"/>
          <w14:textFill>
            <w14:solidFill>
              <w14:schemeClr w14:val="tx1"/>
            </w14:solidFill>
          </w14:textFill>
        </w:rPr>
      </w:pPr>
      <w:r>
        <w:rPr>
          <w:rFonts w:ascii="Times New Roman" w:hAnsi="Times New Roman" w:eastAsia="宋体" w:cs="Times New Roman"/>
          <w:b/>
          <w:color w:val="000000" w:themeColor="text1"/>
          <w:kern w:val="0"/>
          <w:sz w:val="24"/>
          <w14:textFill>
            <w14:solidFill>
              <w14:schemeClr w14:val="tx1"/>
            </w14:solidFill>
          </w14:textFill>
        </w:rPr>
        <w:t>学    分：</w:t>
      </w:r>
      <w:r>
        <w:rPr>
          <w:rFonts w:ascii="Times New Roman" w:hAnsi="Times New Roman" w:eastAsia="宋体" w:cs="Times New Roman"/>
          <w:color w:val="000000" w:themeColor="text1"/>
          <w:kern w:val="0"/>
          <w:sz w:val="24"/>
          <w14:textFill>
            <w14:solidFill>
              <w14:schemeClr w14:val="tx1"/>
            </w14:solidFill>
          </w14:textFill>
        </w:rPr>
        <w:t>3学分</w:t>
      </w:r>
    </w:p>
    <w:p>
      <w:pPr>
        <w:widowControl/>
        <w:spacing w:line="300" w:lineRule="auto"/>
        <w:jc w:val="left"/>
        <w:rPr>
          <w:rFonts w:ascii="Times New Roman" w:hAnsi="Times New Roman" w:eastAsia="宋体" w:cs="Times New Roman"/>
          <w:color w:val="000000" w:themeColor="text1"/>
          <w:kern w:val="0"/>
          <w:sz w:val="24"/>
          <w14:textFill>
            <w14:solidFill>
              <w14:schemeClr w14:val="tx1"/>
            </w14:solidFill>
          </w14:textFill>
        </w:rPr>
      </w:pPr>
      <w:r>
        <w:rPr>
          <w:rFonts w:ascii="Times New Roman" w:hAnsi="Times New Roman" w:eastAsia="宋体" w:cs="Times New Roman"/>
          <w:b/>
          <w:color w:val="000000" w:themeColor="text1"/>
          <w:kern w:val="0"/>
          <w:sz w:val="24"/>
          <w14:textFill>
            <w14:solidFill>
              <w14:schemeClr w14:val="tx1"/>
            </w14:solidFill>
          </w14:textFill>
        </w:rPr>
        <w:t>教学对象：</w:t>
      </w:r>
      <w:r>
        <w:rPr>
          <w:rFonts w:ascii="Times New Roman" w:hAnsi="Times New Roman" w:eastAsia="宋体" w:cs="Times New Roman"/>
          <w:color w:val="000000" w:themeColor="text1"/>
          <w:kern w:val="0"/>
          <w:sz w:val="24"/>
          <w14:textFill>
            <w14:solidFill>
              <w14:schemeClr w14:val="tx1"/>
            </w14:solidFill>
          </w14:textFill>
        </w:rPr>
        <w:t>国贸专业三年级秋季学期</w:t>
      </w:r>
    </w:p>
    <w:p>
      <w:pPr>
        <w:widowControl/>
        <w:spacing w:line="300" w:lineRule="auto"/>
        <w:jc w:val="left"/>
        <w:rPr>
          <w:rFonts w:ascii="Times New Roman" w:hAnsi="Times New Roman" w:eastAsia="宋体" w:cs="Times New Roman"/>
          <w:color w:val="000000" w:themeColor="text1"/>
          <w:kern w:val="0"/>
          <w:sz w:val="24"/>
          <w14:textFill>
            <w14:solidFill>
              <w14:schemeClr w14:val="tx1"/>
            </w14:solidFill>
          </w14:textFill>
        </w:rPr>
      </w:pPr>
      <w:r>
        <w:rPr>
          <w:rFonts w:ascii="Times New Roman" w:hAnsi="Times New Roman" w:eastAsia="宋体" w:cs="Times New Roman"/>
          <w:b/>
          <w:color w:val="000000" w:themeColor="text1"/>
          <w:kern w:val="0"/>
          <w:sz w:val="24"/>
          <w14:textFill>
            <w14:solidFill>
              <w14:schemeClr w14:val="tx1"/>
            </w14:solidFill>
          </w14:textFill>
        </w:rPr>
        <w:t>班级人数：</w:t>
      </w:r>
      <w:r>
        <w:rPr>
          <w:rFonts w:ascii="Times New Roman" w:hAnsi="Times New Roman" w:eastAsia="宋体" w:cs="Times New Roman"/>
          <w:color w:val="000000" w:themeColor="text1"/>
          <w:kern w:val="0"/>
          <w:sz w:val="24"/>
          <w14:textFill>
            <w14:solidFill>
              <w14:schemeClr w14:val="tx1"/>
            </w14:solidFill>
          </w14:textFill>
        </w:rPr>
        <w:t>84人</w:t>
      </w:r>
    </w:p>
    <w:p>
      <w:pPr>
        <w:spacing w:line="300" w:lineRule="auto"/>
        <w:rPr>
          <w:rFonts w:ascii="Times New Roman" w:hAnsi="Times New Roman" w:eastAsia="宋体" w:cs="Times New Roman"/>
          <w:b/>
          <w:color w:val="000000" w:themeColor="text1"/>
          <w:kern w:val="0"/>
          <w:sz w:val="24"/>
          <w14:textFill>
            <w14:solidFill>
              <w14:schemeClr w14:val="tx1"/>
            </w14:solidFill>
          </w14:textFill>
        </w:rPr>
      </w:pPr>
      <w:r>
        <w:rPr>
          <w:rFonts w:ascii="Times New Roman" w:hAnsi="Times New Roman" w:eastAsia="宋体" w:cs="Times New Roman"/>
          <w:b/>
          <w:color w:val="000000" w:themeColor="text1"/>
          <w:kern w:val="0"/>
          <w:sz w:val="24"/>
          <w14:textFill>
            <w14:solidFill>
              <w14:schemeClr w14:val="tx1"/>
            </w14:solidFill>
          </w14:textFill>
        </w:rPr>
        <w:t>使用教材：</w:t>
      </w:r>
    </w:p>
    <w:p>
      <w:pPr>
        <w:spacing w:line="30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傅龙海等. 国际贸易实务双语教程[M]. 北京：对外经济贸易大学出版社，2018.</w:t>
      </w:r>
    </w:p>
    <w:p>
      <w:pPr>
        <w:spacing w:line="300" w:lineRule="auto"/>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主要参考资料：</w:t>
      </w:r>
    </w:p>
    <w:p>
      <w:pPr>
        <w:spacing w:line="30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[1]黎孝先. 国际贸易实务(第六版)[M]. 北京：对外经济贸易大学出版社，2016.</w:t>
      </w:r>
    </w:p>
    <w:p>
      <w:pPr>
        <w:spacing w:line="30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[2]吴国新，郭峥嵘.国际贸易理论与实务[M]. 北京:清华大学出版社，2015.</w:t>
      </w:r>
    </w:p>
    <w:p>
      <w:pPr>
        <w:spacing w:line="30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[3]周文君.国际贸易实务实验指导书，2021.</w:t>
      </w:r>
    </w:p>
    <w:p>
      <w:pPr>
        <w:pStyle w:val="3"/>
        <w:spacing w:before="0" w:after="0" w:line="300" w:lineRule="auto"/>
        <w:rPr>
          <w:rFonts w:ascii="楷体" w:hAnsi="楷体" w:eastAsia="楷体" w:cs="Times New Roman"/>
          <w:sz w:val="28"/>
          <w:szCs w:val="21"/>
        </w:rPr>
      </w:pPr>
      <w:bookmarkStart w:id="20" w:name="_Toc102337680"/>
      <w:bookmarkStart w:id="21" w:name="_Toc101980923"/>
      <w:bookmarkStart w:id="22" w:name="_Toc85097216"/>
      <w:bookmarkStart w:id="23" w:name="_Toc89439453"/>
      <w:bookmarkStart w:id="24" w:name="_Toc82109013"/>
      <w:bookmarkStart w:id="25" w:name="_Toc89440959"/>
      <w:r>
        <w:rPr>
          <w:rFonts w:ascii="楷体" w:hAnsi="楷体" w:eastAsia="楷体" w:cs="Times New Roman"/>
          <w:sz w:val="28"/>
          <w:szCs w:val="21"/>
        </w:rPr>
        <w:t>2.2课程简介</w:t>
      </w:r>
      <w:bookmarkEnd w:id="20"/>
      <w:bookmarkEnd w:id="21"/>
      <w:bookmarkEnd w:id="22"/>
      <w:bookmarkEnd w:id="23"/>
      <w:bookmarkEnd w:id="24"/>
      <w:bookmarkEnd w:id="25"/>
    </w:p>
    <w:p>
      <w:pPr>
        <w:spacing w:line="30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国际贸易实务》是经贸类专业的一门主干课，是一门专门研究国际间商品交换的具体过程的学科，是一门具有涉外活动特点的实践性很强的综合性、应用性科学，其实验部分主要是对国际贸易中的主要流程进行模拟训练。本课程的任务是从贸易实践和国际法律的角度，分析研究国际商品交换的各种做法，总结国内外贸易实践经验，适应国际贸易的新发展与新变化，更好地进行进出口业务操作，支撑专业学习成果中相应指标点的达成。</w:t>
      </w:r>
    </w:p>
    <w:p>
      <w:pPr>
        <w:pStyle w:val="3"/>
        <w:spacing w:before="0" w:after="0" w:line="300" w:lineRule="auto"/>
        <w:rPr>
          <w:rFonts w:ascii="楷体" w:hAnsi="楷体" w:eastAsia="楷体" w:cs="Times New Roman"/>
          <w:sz w:val="28"/>
          <w:szCs w:val="21"/>
        </w:rPr>
      </w:pPr>
      <w:bookmarkStart w:id="26" w:name="_Toc101980924"/>
      <w:bookmarkStart w:id="27" w:name="_Toc89439454"/>
      <w:bookmarkStart w:id="28" w:name="_Toc82109014"/>
      <w:bookmarkStart w:id="29" w:name="_Toc102337681"/>
      <w:bookmarkStart w:id="30" w:name="_Toc85097217"/>
      <w:bookmarkStart w:id="31" w:name="_Toc89440960"/>
      <w:r>
        <w:rPr>
          <w:rFonts w:ascii="楷体" w:hAnsi="楷体" w:eastAsia="楷体" w:cs="Times New Roman"/>
          <w:sz w:val="28"/>
          <w:szCs w:val="21"/>
        </w:rPr>
        <w:t>2.3学情分析</w:t>
      </w:r>
      <w:bookmarkEnd w:id="26"/>
      <w:bookmarkEnd w:id="27"/>
      <w:bookmarkEnd w:id="28"/>
      <w:bookmarkEnd w:id="29"/>
      <w:bookmarkEnd w:id="30"/>
      <w:bookmarkEnd w:id="31"/>
    </w:p>
    <w:p>
      <w:pPr>
        <w:pStyle w:val="3"/>
        <w:spacing w:before="0" w:after="0" w:line="300" w:lineRule="auto"/>
        <w:rPr>
          <w:rFonts w:ascii="黑体" w:hAnsi="黑体" w:cs="Times New Roman"/>
          <w:b w:val="0"/>
          <w:color w:val="000000" w:themeColor="text1"/>
          <w:sz w:val="24"/>
          <w14:textFill>
            <w14:solidFill>
              <w14:schemeClr w14:val="tx1"/>
            </w14:solidFill>
          </w14:textFill>
        </w:rPr>
      </w:pPr>
      <w:bookmarkStart w:id="32" w:name="_Toc101980925"/>
      <w:bookmarkStart w:id="33" w:name="_Toc89440961"/>
      <w:bookmarkStart w:id="34" w:name="_Toc89439455"/>
      <w:bookmarkStart w:id="35" w:name="_Toc102337682"/>
      <w:bookmarkStart w:id="36" w:name="_Toc85097218"/>
      <w:bookmarkStart w:id="37" w:name="_Toc82109015"/>
      <w:r>
        <w:rPr>
          <w:rFonts w:ascii="黑体" w:hAnsi="黑体" w:cs="Times New Roman"/>
          <w:b w:val="0"/>
          <w:color w:val="000000" w:themeColor="text1"/>
          <w:sz w:val="24"/>
          <w14:textFill>
            <w14:solidFill>
              <w14:schemeClr w14:val="tx1"/>
            </w14:solidFill>
          </w14:textFill>
        </w:rPr>
        <w:t>2.3.1教学对象</w:t>
      </w:r>
      <w:bookmarkEnd w:id="32"/>
      <w:bookmarkEnd w:id="33"/>
      <w:bookmarkEnd w:id="34"/>
      <w:bookmarkEnd w:id="35"/>
      <w:bookmarkEnd w:id="36"/>
      <w:bookmarkEnd w:id="37"/>
    </w:p>
    <w:p>
      <w:pPr>
        <w:spacing w:line="30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14:textFill>
            <w14:solidFill>
              <w14:schemeClr w14:val="tx1"/>
            </w14:solidFill>
          </w14:textFill>
        </w:rPr>
        <w:t>前置课程：微观经济学、宏观经济学、国际贸易理论、国际经济学；</w:t>
      </w:r>
    </w:p>
    <w:p>
      <w:pPr>
        <w:spacing w:line="30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14:textFill>
            <w14:solidFill>
              <w14:schemeClr w14:val="tx1"/>
            </w14:solidFill>
          </w14:textFill>
        </w:rPr>
        <w:t>后置课程：跨境电商实务、国际物流、外贸英文函电、国际结算等；</w:t>
      </w:r>
    </w:p>
    <w:p>
      <w:pPr>
        <w:spacing w:line="30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14:textFill>
            <w14:solidFill>
              <w14:schemeClr w14:val="tx1"/>
            </w14:solidFill>
          </w14:textFill>
        </w:rPr>
        <w:t>学生特点：浮躁状态依旧比较普遍，“知其然而不知其所以然”浅层学习状态，思维很活跃，喜欢积极参与课堂讨论；</w:t>
      </w:r>
    </w:p>
    <w:p>
      <w:pPr>
        <w:spacing w:line="30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14:textFill>
            <w14:solidFill>
              <w14:schemeClr w14:val="tx1"/>
            </w14:solidFill>
          </w14:textFill>
        </w:rPr>
        <w:t>学习困境：课程内容繁杂，无法尽快理清思路，分析与解决问题能力稍显不足，自主学习能力尚待提升</w:t>
      </w:r>
      <w:r>
        <w:rPr>
          <w:rFonts w:ascii="Times New Roman" w:hAnsi="Times New Roman" w:eastAsia="宋体" w:cs="Times New Roman"/>
          <w:color w:val="000000" w:themeColor="text1"/>
          <w:sz w:val="24"/>
          <w14:textFill>
            <w14:solidFill>
              <w14:schemeClr w14:val="tx1"/>
            </w14:solidFill>
          </w14:textFill>
        </w:rPr>
        <w:t>。</w:t>
      </w:r>
    </w:p>
    <w:p>
      <w:pPr>
        <w:pStyle w:val="3"/>
        <w:spacing w:before="0" w:after="0" w:line="300" w:lineRule="auto"/>
        <w:rPr>
          <w:rFonts w:ascii="黑体" w:hAnsi="黑体" w:cs="Times New Roman"/>
          <w:b w:val="0"/>
          <w:color w:val="000000" w:themeColor="text1"/>
          <w:sz w:val="24"/>
          <w14:textFill>
            <w14:solidFill>
              <w14:schemeClr w14:val="tx1"/>
            </w14:solidFill>
          </w14:textFill>
        </w:rPr>
      </w:pPr>
      <w:bookmarkStart w:id="38" w:name="_Toc102337683"/>
      <w:bookmarkStart w:id="39" w:name="_Toc82109016"/>
      <w:bookmarkStart w:id="40" w:name="_Toc89439456"/>
      <w:bookmarkStart w:id="41" w:name="_Toc101980926"/>
      <w:bookmarkStart w:id="42" w:name="_Toc85097219"/>
      <w:bookmarkStart w:id="43" w:name="_Toc89440962"/>
      <w:r>
        <w:rPr>
          <w:rFonts w:ascii="黑体" w:hAnsi="黑体" w:cs="Times New Roman"/>
          <w:b w:val="0"/>
          <w:color w:val="000000" w:themeColor="text1"/>
          <w:sz w:val="24"/>
          <w14:textFill>
            <w14:solidFill>
              <w14:schemeClr w14:val="tx1"/>
            </w14:solidFill>
          </w14:textFill>
        </w:rPr>
        <w:t>2.3.2 课时安排</w:t>
      </w:r>
      <w:bookmarkEnd w:id="38"/>
      <w:bookmarkEnd w:id="39"/>
      <w:bookmarkEnd w:id="40"/>
      <w:bookmarkEnd w:id="41"/>
      <w:bookmarkEnd w:id="42"/>
      <w:bookmarkEnd w:id="43"/>
    </w:p>
    <w:p>
      <w:pPr>
        <w:spacing w:line="30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课程总教学时长为一个学期，共16周。共需教授10个单元内容，每个单元平均2-4课时，课程安排为每周4课时，每课时45分钟。国贸专业为小班授课，师生比约为1:42。</w:t>
      </w:r>
    </w:p>
    <w:p>
      <w:pPr>
        <w:pStyle w:val="3"/>
        <w:spacing w:before="0" w:after="0" w:line="300" w:lineRule="auto"/>
        <w:rPr>
          <w:rFonts w:ascii="黑体" w:hAnsi="黑体" w:cs="Times New Roman"/>
          <w:b w:val="0"/>
          <w:color w:val="000000" w:themeColor="text1"/>
          <w:sz w:val="24"/>
          <w14:textFill>
            <w14:solidFill>
              <w14:schemeClr w14:val="tx1"/>
            </w14:solidFill>
          </w14:textFill>
        </w:rPr>
      </w:pPr>
      <w:bookmarkStart w:id="44" w:name="_Toc102337684"/>
      <w:bookmarkStart w:id="45" w:name="_Toc89440963"/>
      <w:bookmarkStart w:id="46" w:name="_Toc85097220"/>
      <w:bookmarkStart w:id="47" w:name="_Toc82109017"/>
      <w:bookmarkStart w:id="48" w:name="_Toc101980927"/>
      <w:bookmarkStart w:id="49" w:name="_Toc89439457"/>
      <w:r>
        <w:rPr>
          <w:rFonts w:ascii="黑体" w:hAnsi="黑体" w:cs="Times New Roman"/>
          <w:b w:val="0"/>
          <w:color w:val="000000" w:themeColor="text1"/>
          <w:sz w:val="24"/>
          <w14:textFill>
            <w14:solidFill>
              <w14:schemeClr w14:val="tx1"/>
            </w14:solidFill>
          </w14:textFill>
        </w:rPr>
        <w:t>2.3.3 课程目标</w:t>
      </w:r>
      <w:bookmarkEnd w:id="44"/>
      <w:bookmarkEnd w:id="45"/>
      <w:bookmarkEnd w:id="46"/>
      <w:bookmarkEnd w:id="47"/>
      <w:bookmarkEnd w:id="48"/>
      <w:bookmarkEnd w:id="49"/>
    </w:p>
    <w:p>
      <w:pPr>
        <w:spacing w:line="30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课程目标1.逐步掌握科学的学习方法，增强对国际贸易实务知识及专业术语的学习，不断地扩展知识面，增强独立思考的能力，更新知识结构。</w:t>
      </w:r>
    </w:p>
    <w:p>
      <w:pPr>
        <w:spacing w:line="30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课程目标2.能够运用所学知识进行国际贸易流程操作，包括模拟展销、与客户建立联系、出口报价及交易磋商、出口合同签订、出口货物投保、出口货物装船运输、国际货款收付，涉及到银行、保险、海关、运输等各个部门，学会填制各种单据，包括信用证申请书、报验单、报关单、出口结汇单据等。</w:t>
      </w:r>
    </w:p>
    <w:p>
      <w:pPr>
        <w:spacing w:line="30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课程目标3.提升英语交流能力，学会撰写英文式询盘、发盘、还盘以及接受等交易磋商的往来业务邮件。</w:t>
      </w:r>
    </w:p>
    <w:p>
      <w:pPr>
        <w:spacing w:line="30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课程目标4.掌握国际货物贸易合同基本条款，包括品名、规格、数量、价格、运输、保险、货款收付、检验、索赔、不可抗力、仲裁等。</w:t>
      </w:r>
    </w:p>
    <w:p>
      <w:pPr>
        <w:spacing w:line="30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课程目标5.能力提升，实现包括学生开拓创新精神、团队协作能力，运用所学知识批判性地、触类旁通地解决实际问题等在内的高阶能力的培养。</w:t>
      </w:r>
    </w:p>
    <w:p>
      <w:pPr>
        <w:spacing w:line="30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课程目标6.拓宽课程广度的同时，开拓思路，深挖其所蕴涵的思想价值与精神内涵，阐释专业知识背后的深度涵义，提升课程学习高度，实现价值导向目标。</w:t>
      </w:r>
    </w:p>
    <w:p>
      <w:pPr>
        <w:spacing w:line="300" w:lineRule="auto"/>
        <w:ind w:firstLine="480" w:firstLineChars="200"/>
        <w:rPr>
          <w:rFonts w:ascii="Times New Roman" w:hAnsi="Times New Roman" w:eastAsia="宋体" w:cs="Times New Roman"/>
          <w:color w:val="000000" w:themeColor="text1"/>
          <w:sz w:val="24"/>
          <w14:textFill>
            <w14:solidFill>
              <w14:schemeClr w14:val="tx1"/>
            </w14:solidFill>
          </w14:textFill>
        </w:rPr>
      </w:pPr>
    </w:p>
    <w:p>
      <w:pPr>
        <w:pStyle w:val="3"/>
        <w:spacing w:before="0" w:after="0" w:line="300" w:lineRule="auto"/>
        <w:rPr>
          <w:rFonts w:ascii="楷体" w:hAnsi="楷体" w:eastAsia="楷体" w:cs="Times New Roman"/>
          <w:sz w:val="28"/>
          <w:szCs w:val="21"/>
        </w:rPr>
      </w:pPr>
      <w:bookmarkStart w:id="50" w:name="_Toc85097221"/>
      <w:bookmarkStart w:id="51" w:name="_Toc101980928"/>
      <w:bookmarkStart w:id="52" w:name="_Toc89439458"/>
      <w:bookmarkStart w:id="53" w:name="_Toc102337685"/>
      <w:bookmarkStart w:id="54" w:name="_Toc82109018"/>
      <w:bookmarkStart w:id="55" w:name="_Toc89440964"/>
      <w:r>
        <w:rPr>
          <w:rFonts w:ascii="楷体" w:hAnsi="楷体" w:eastAsia="楷体" w:cs="Times New Roman"/>
          <w:sz w:val="28"/>
          <w:szCs w:val="21"/>
        </w:rPr>
        <w:t>2.4 课程现状</w:t>
      </w:r>
      <w:bookmarkEnd w:id="50"/>
      <w:bookmarkEnd w:id="51"/>
      <w:bookmarkEnd w:id="52"/>
      <w:bookmarkEnd w:id="53"/>
      <w:bookmarkEnd w:id="54"/>
      <w:bookmarkEnd w:id="55"/>
    </w:p>
    <w:p>
      <w:pPr>
        <w:spacing w:line="30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当前，国际贸易专业核心课程教学上依然存在问题，主要包括以下几个方面，如教学内容更新慢、教学方法较传统、实践教学流于形式、课程考核方式较单一等，教学资源稀缺性也是导致以上现象的重要原因之一，最终教学效果并不显著。</w:t>
      </w:r>
    </w:p>
    <w:p>
      <w:pPr>
        <w:spacing w:line="300" w:lineRule="auto"/>
        <w:ind w:firstLine="480" w:firstLineChars="200"/>
        <w:rPr>
          <w:rFonts w:ascii="Times New Roman" w:hAnsi="Times New Roman" w:eastAsia="宋体" w:cs="Times New Roman"/>
          <w:color w:val="000000" w:themeColor="text1"/>
          <w:spacing w:val="-5"/>
          <w:sz w:val="24"/>
          <w14:textFill>
            <w14:solidFill>
              <w14:schemeClr w14:val="tx1"/>
            </w14:solidFill>
          </w14:textFill>
        </w:rPr>
      </w:pPr>
      <w:bookmarkStart w:id="56" w:name="_Toc85097222"/>
      <w:bookmarkStart w:id="57" w:name="_Toc82109019"/>
      <w:r>
        <w:rPr>
          <w:rFonts w:hint="eastAsia" w:ascii="Times New Roman" w:hAnsi="Times New Roman" w:eastAsia="宋体" w:cs="Times New Roman"/>
          <w:sz w:val="24"/>
        </w:rPr>
        <w:t>一是</w:t>
      </w:r>
      <w:r>
        <w:rPr>
          <w:rFonts w:ascii="Times New Roman" w:hAnsi="Times New Roman" w:eastAsia="宋体" w:cs="Times New Roman"/>
          <w:sz w:val="24"/>
        </w:rPr>
        <w:t>教学内容更新慢，无法与时俱进</w:t>
      </w:r>
      <w:bookmarkEnd w:id="56"/>
      <w:bookmarkEnd w:id="57"/>
      <w:r>
        <w:rPr>
          <w:rFonts w:hint="eastAsia" w:ascii="Times New Roman" w:hAnsi="Times New Roman" w:eastAsia="宋体" w:cs="Times New Roman"/>
          <w:sz w:val="24"/>
        </w:rPr>
        <w:t>。</w:t>
      </w:r>
      <w:r>
        <w:rPr>
          <w:rFonts w:ascii="Times New Roman" w:hAnsi="Times New Roman" w:eastAsia="宋体" w:cs="Times New Roman"/>
          <w:color w:val="000000" w:themeColor="text1"/>
          <w:spacing w:val="-5"/>
          <w:sz w:val="24"/>
          <w14:textFill>
            <w14:solidFill>
              <w14:schemeClr w14:val="tx1"/>
            </w14:solidFill>
          </w14:textFill>
        </w:rPr>
        <w:t>国际贸易实务是一门实践性较强的课程，实务操作中涉及众多国际惯例，如《国际贸易术语解释通则》、《跟单信用证统一惯例》等，以及国家相关政策，如外贸政策、外交政策等。因此，在教学过程中除了需掌握基础知识外，还应紧跟时代发展与政策变化。选用优质教材就显得尤为重要，市面上大部分教材内容更新较缓慢，若教师照本宣科只会导致陈旧知识的重复教授。例如，国际商会《国际贸易术语解释通则2020》对D组贸易术语中的DAT和DAP进行修订，将DAT修改为DPU。又如，2018年8月1日我国将进出口货物报关单与报检单整合申报，实现了关检融合，提高工作效率。对于这些规则变化，教材或实训软件可能无法做到及时更新，若教师在课堂教学过程中不及时跟进学科前沿，只会导致教学深度不够，从而无法促进深度学习。及时更新教学内容与知识体系，体现与时俱进，对于国贸学生掌握基础知识与最新动态有重要作用。</w:t>
      </w:r>
    </w:p>
    <w:p>
      <w:pPr>
        <w:spacing w:line="300" w:lineRule="auto"/>
        <w:ind w:firstLine="480" w:firstLineChars="200"/>
        <w:rPr>
          <w:rFonts w:ascii="Times New Roman" w:hAnsi="Times New Roman" w:eastAsia="宋体" w:cs="Times New Roman"/>
          <w:color w:val="000000" w:themeColor="text1"/>
          <w:spacing w:val="-5"/>
          <w:sz w:val="24"/>
          <w14:textFill>
            <w14:solidFill>
              <w14:schemeClr w14:val="tx1"/>
            </w14:solidFill>
          </w14:textFill>
        </w:rPr>
      </w:pPr>
      <w:bookmarkStart w:id="58" w:name="_Toc82109020"/>
      <w:bookmarkStart w:id="59" w:name="_Toc85097223"/>
      <w:r>
        <w:rPr>
          <w:rFonts w:hint="eastAsia" w:ascii="Times New Roman" w:hAnsi="Times New Roman" w:eastAsia="宋体" w:cs="Times New Roman"/>
          <w:sz w:val="24"/>
        </w:rPr>
        <w:t>二是</w:t>
      </w:r>
      <w:r>
        <w:rPr>
          <w:rFonts w:ascii="Times New Roman" w:hAnsi="Times New Roman" w:eastAsia="宋体" w:cs="Times New Roman"/>
          <w:sz w:val="24"/>
        </w:rPr>
        <w:t>教学方法较传统，无法促进主观能动性</w:t>
      </w:r>
      <w:bookmarkEnd w:id="58"/>
      <w:bookmarkEnd w:id="59"/>
      <w:r>
        <w:rPr>
          <w:rFonts w:hint="eastAsia" w:ascii="Times New Roman" w:hAnsi="Times New Roman" w:eastAsia="宋体" w:cs="Times New Roman"/>
          <w:sz w:val="24"/>
        </w:rPr>
        <w:t>。</w:t>
      </w:r>
      <w:r>
        <w:rPr>
          <w:rFonts w:ascii="Times New Roman" w:hAnsi="Times New Roman" w:eastAsia="宋体" w:cs="Times New Roman"/>
          <w:color w:val="000000" w:themeColor="text1"/>
          <w:spacing w:val="-5"/>
          <w:sz w:val="24"/>
          <w14:textFill>
            <w14:solidFill>
              <w14:schemeClr w14:val="tx1"/>
            </w14:solidFill>
          </w14:textFill>
        </w:rPr>
        <w:t>国际贸易实务课程涉及理论、实务、法规等多方面知识，内容繁杂而枯燥，传统</w:t>
      </w:r>
      <w:r>
        <w:rPr>
          <w:rFonts w:hint="eastAsia" w:ascii="Times New Roman" w:hAnsi="Times New Roman" w:eastAsia="宋体" w:cs="Times New Roman"/>
          <w:color w:val="000000" w:themeColor="text1"/>
          <w:spacing w:val="-5"/>
          <w:sz w:val="24"/>
          <w14:textFill>
            <w14:solidFill>
              <w14:schemeClr w14:val="tx1"/>
            </w14:solidFill>
          </w14:textFill>
        </w:rPr>
        <w:t>“</w:t>
      </w:r>
      <w:r>
        <w:rPr>
          <w:rFonts w:ascii="Times New Roman" w:hAnsi="Times New Roman" w:eastAsia="宋体" w:cs="Times New Roman"/>
          <w:color w:val="000000" w:themeColor="text1"/>
          <w:spacing w:val="-5"/>
          <w:sz w:val="24"/>
          <w14:textFill>
            <w14:solidFill>
              <w14:schemeClr w14:val="tx1"/>
            </w14:solidFill>
          </w14:textFill>
        </w:rPr>
        <w:t>填鸭式</w:t>
      </w:r>
      <w:r>
        <w:rPr>
          <w:rFonts w:hint="eastAsia" w:ascii="Times New Roman" w:hAnsi="Times New Roman" w:eastAsia="宋体" w:cs="Times New Roman"/>
          <w:color w:val="000000" w:themeColor="text1"/>
          <w:spacing w:val="-5"/>
          <w:sz w:val="24"/>
          <w14:textFill>
            <w14:solidFill>
              <w14:schemeClr w14:val="tx1"/>
            </w14:solidFill>
          </w14:textFill>
        </w:rPr>
        <w:t>”</w:t>
      </w:r>
      <w:r>
        <w:rPr>
          <w:rFonts w:ascii="Times New Roman" w:hAnsi="Times New Roman" w:eastAsia="宋体" w:cs="Times New Roman"/>
          <w:color w:val="000000" w:themeColor="text1"/>
          <w:spacing w:val="-5"/>
          <w:sz w:val="24"/>
          <w14:textFill>
            <w14:solidFill>
              <w14:schemeClr w14:val="tx1"/>
            </w14:solidFill>
          </w14:textFill>
        </w:rPr>
        <w:t>、</w:t>
      </w:r>
      <w:r>
        <w:rPr>
          <w:rFonts w:hint="eastAsia" w:ascii="Times New Roman" w:hAnsi="Times New Roman" w:eastAsia="宋体" w:cs="Times New Roman"/>
          <w:color w:val="000000" w:themeColor="text1"/>
          <w:spacing w:val="-5"/>
          <w:sz w:val="24"/>
          <w14:textFill>
            <w14:solidFill>
              <w14:schemeClr w14:val="tx1"/>
            </w14:solidFill>
          </w14:textFill>
        </w:rPr>
        <w:t>“</w:t>
      </w:r>
      <w:r>
        <w:rPr>
          <w:rFonts w:ascii="Times New Roman" w:hAnsi="Times New Roman" w:eastAsia="宋体" w:cs="Times New Roman"/>
          <w:color w:val="000000" w:themeColor="text1"/>
          <w:spacing w:val="-5"/>
          <w:sz w:val="24"/>
          <w14:textFill>
            <w14:solidFill>
              <w14:schemeClr w14:val="tx1"/>
            </w14:solidFill>
          </w14:textFill>
        </w:rPr>
        <w:t>一言堂</w:t>
      </w:r>
      <w:r>
        <w:rPr>
          <w:rFonts w:hint="eastAsia" w:ascii="Times New Roman" w:hAnsi="Times New Roman" w:eastAsia="宋体" w:cs="Times New Roman"/>
          <w:color w:val="000000" w:themeColor="text1"/>
          <w:spacing w:val="-5"/>
          <w:sz w:val="24"/>
          <w14:textFill>
            <w14:solidFill>
              <w14:schemeClr w14:val="tx1"/>
            </w14:solidFill>
          </w14:textFill>
        </w:rPr>
        <w:t>”</w:t>
      </w:r>
      <w:r>
        <w:rPr>
          <w:rFonts w:ascii="Times New Roman" w:hAnsi="Times New Roman" w:eastAsia="宋体" w:cs="Times New Roman"/>
          <w:color w:val="000000" w:themeColor="text1"/>
          <w:spacing w:val="-5"/>
          <w:sz w:val="24"/>
          <w14:textFill>
            <w14:solidFill>
              <w14:schemeClr w14:val="tx1"/>
            </w14:solidFill>
          </w14:textFill>
        </w:rPr>
        <w:t>教学方法效果不明显。学生被动接收信息，理论知识并未真正经过理解和运用而内化，就算是为考试记住了专业名词概念，</w:t>
      </w:r>
      <w:r>
        <w:rPr>
          <w:rFonts w:ascii="Times New Roman" w:hAnsi="Times New Roman" w:eastAsia="宋体" w:cs="Times New Roman"/>
          <w:color w:val="000000" w:themeColor="text1"/>
          <w:sz w:val="24"/>
          <w14:textFill>
            <w14:solidFill>
              <w14:schemeClr w14:val="tx1"/>
            </w14:solidFill>
          </w14:textFill>
        </w:rPr>
        <w:t>终究只是停留在</w:t>
      </w:r>
      <w:r>
        <w:rPr>
          <w:rFonts w:hint="eastAsia" w:ascii="Times New Roman" w:hAnsi="Times New Roman" w:eastAsia="宋体" w:cs="Times New Roman"/>
          <w:color w:val="000000" w:themeColor="text1"/>
          <w:sz w:val="24"/>
          <w14:textFill>
            <w14:solidFill>
              <w14:schemeClr w14:val="tx1"/>
            </w14:solidFill>
          </w14:textFill>
        </w:rPr>
        <w:t>“</w:t>
      </w:r>
      <w:r>
        <w:rPr>
          <w:rFonts w:ascii="Times New Roman" w:hAnsi="Times New Roman" w:eastAsia="宋体" w:cs="Times New Roman"/>
          <w:color w:val="000000" w:themeColor="text1"/>
          <w:sz w:val="24"/>
          <w14:textFill>
            <w14:solidFill>
              <w14:schemeClr w14:val="tx1"/>
            </w14:solidFill>
          </w14:textFill>
        </w:rPr>
        <w:t>知其然而不知其所以然</w:t>
      </w:r>
      <w:r>
        <w:rPr>
          <w:rFonts w:hint="eastAsia" w:ascii="Times New Roman" w:hAnsi="Times New Roman" w:eastAsia="宋体" w:cs="Times New Roman"/>
          <w:color w:val="000000" w:themeColor="text1"/>
          <w:sz w:val="24"/>
          <w14:textFill>
            <w14:solidFill>
              <w14:schemeClr w14:val="tx1"/>
            </w14:solidFill>
          </w14:textFill>
        </w:rPr>
        <w:t>”</w:t>
      </w:r>
      <w:r>
        <w:rPr>
          <w:rFonts w:ascii="Times New Roman" w:hAnsi="Times New Roman" w:eastAsia="宋体" w:cs="Times New Roman"/>
          <w:color w:val="000000" w:themeColor="text1"/>
          <w:sz w:val="24"/>
          <w14:textFill>
            <w14:solidFill>
              <w14:schemeClr w14:val="tx1"/>
            </w14:solidFill>
          </w14:textFill>
        </w:rPr>
        <w:t>的浅层学习状态</w:t>
      </w:r>
      <w:r>
        <w:rPr>
          <w:rFonts w:ascii="Times New Roman" w:hAnsi="Times New Roman" w:eastAsia="宋体" w:cs="Times New Roman"/>
          <w:color w:val="000000" w:themeColor="text1"/>
          <w:spacing w:val="-5"/>
          <w:sz w:val="24"/>
          <w14:textFill>
            <w14:solidFill>
              <w14:schemeClr w14:val="tx1"/>
            </w14:solidFill>
          </w14:textFill>
        </w:rPr>
        <w:t>。孔子在《论语》中曾说：</w:t>
      </w:r>
      <w:r>
        <w:rPr>
          <w:rFonts w:hint="eastAsia" w:ascii="Times New Roman" w:hAnsi="Times New Roman" w:eastAsia="宋体" w:cs="Times New Roman"/>
          <w:color w:val="000000" w:themeColor="text1"/>
          <w:spacing w:val="-5"/>
          <w:sz w:val="24"/>
          <w14:textFill>
            <w14:solidFill>
              <w14:schemeClr w14:val="tx1"/>
            </w14:solidFill>
          </w14:textFill>
        </w:rPr>
        <w:t>“</w:t>
      </w:r>
      <w:r>
        <w:rPr>
          <w:rFonts w:ascii="Times New Roman" w:hAnsi="Times New Roman" w:eastAsia="宋体" w:cs="Times New Roman"/>
          <w:color w:val="000000" w:themeColor="text1"/>
          <w:spacing w:val="-5"/>
          <w:sz w:val="24"/>
          <w14:textFill>
            <w14:solidFill>
              <w14:schemeClr w14:val="tx1"/>
            </w14:solidFill>
          </w14:textFill>
        </w:rPr>
        <w:t>学而不思则罔</w:t>
      </w:r>
      <w:r>
        <w:rPr>
          <w:rFonts w:hint="eastAsia" w:ascii="Times New Roman" w:hAnsi="Times New Roman" w:eastAsia="宋体" w:cs="Times New Roman"/>
          <w:color w:val="000000" w:themeColor="text1"/>
          <w:spacing w:val="-5"/>
          <w:sz w:val="24"/>
          <w14:textFill>
            <w14:solidFill>
              <w14:schemeClr w14:val="tx1"/>
            </w14:solidFill>
          </w14:textFill>
        </w:rPr>
        <w:t>”</w:t>
      </w:r>
      <w:r>
        <w:rPr>
          <w:rFonts w:ascii="Times New Roman" w:hAnsi="Times New Roman" w:eastAsia="宋体" w:cs="Times New Roman"/>
          <w:color w:val="000000" w:themeColor="text1"/>
          <w:spacing w:val="-5"/>
          <w:sz w:val="24"/>
          <w14:textFill>
            <w14:solidFill>
              <w14:schemeClr w14:val="tx1"/>
            </w14:solidFill>
          </w14:textFill>
        </w:rPr>
        <w:t>，这也强调思考的重要性，需要对知识有所理解并运用它才能实现内化。当代大学生浮躁状态依旧比较普遍，对事物的兴趣与求知欲逐渐消失。随着互联网技术的快速发展，各种新型的教学方法层出不穷，如项目式、启发式、融合式等一系列现代综合式多元化教学方法被广泛使用。虽然教师们不断探索教学改革方式方法，如采取案例教学法希望将理论联系实际，启发学生开动脑筋，但很多教师未有外贸实战经验，教学案例设置有一定随意性，虚构案例给学生的真实感不强，很难有深刻印象。据了解，美国哈佛商学院许多教师都是美国著名大型跨国公司的顾问、董事，实战经验非常丰富。另外，在教学中教师很容易习惯性将案例分析结果直接呈现给学生，却忽视了</w:t>
      </w:r>
      <w:r>
        <w:rPr>
          <w:rFonts w:hint="eastAsia" w:ascii="Times New Roman" w:hAnsi="Times New Roman" w:eastAsia="宋体" w:cs="Times New Roman"/>
          <w:color w:val="000000" w:themeColor="text1"/>
          <w:spacing w:val="-5"/>
          <w:sz w:val="24"/>
          <w14:textFill>
            <w14:solidFill>
              <w14:schemeClr w14:val="tx1"/>
            </w14:solidFill>
          </w14:textFill>
        </w:rPr>
        <w:t>“</w:t>
      </w:r>
      <w:r>
        <w:rPr>
          <w:rFonts w:ascii="Times New Roman" w:hAnsi="Times New Roman" w:eastAsia="宋体" w:cs="Times New Roman"/>
          <w:color w:val="000000" w:themeColor="text1"/>
          <w:spacing w:val="-5"/>
          <w:sz w:val="24"/>
          <w14:textFill>
            <w14:solidFill>
              <w14:schemeClr w14:val="tx1"/>
            </w14:solidFill>
          </w14:textFill>
        </w:rPr>
        <w:t>导而弗牵，强而弗抑，开而弗达</w:t>
      </w:r>
      <w:r>
        <w:rPr>
          <w:rFonts w:hint="eastAsia" w:ascii="Times New Roman" w:hAnsi="Times New Roman" w:eastAsia="宋体" w:cs="Times New Roman"/>
          <w:color w:val="000000" w:themeColor="text1"/>
          <w:spacing w:val="-5"/>
          <w:sz w:val="24"/>
          <w14:textFill>
            <w14:solidFill>
              <w14:schemeClr w14:val="tx1"/>
            </w14:solidFill>
          </w14:textFill>
        </w:rPr>
        <w:t>”</w:t>
      </w:r>
      <w:r>
        <w:rPr>
          <w:rFonts w:ascii="Times New Roman" w:hAnsi="Times New Roman" w:eastAsia="宋体" w:cs="Times New Roman"/>
          <w:color w:val="000000" w:themeColor="text1"/>
          <w:spacing w:val="-5"/>
          <w:sz w:val="24"/>
          <w14:textFill>
            <w14:solidFill>
              <w14:schemeClr w14:val="tx1"/>
            </w14:solidFill>
          </w14:textFill>
        </w:rPr>
        <w:t>。针对个案可引导式、启发式地带领学生进行发散思考，寻求新知，让学生变</w:t>
      </w:r>
      <w:r>
        <w:rPr>
          <w:rFonts w:hint="eastAsia" w:ascii="Times New Roman" w:hAnsi="Times New Roman" w:eastAsia="宋体" w:cs="Times New Roman"/>
          <w:color w:val="000000" w:themeColor="text1"/>
          <w:spacing w:val="-5"/>
          <w:sz w:val="24"/>
          <w14:textFill>
            <w14:solidFill>
              <w14:schemeClr w14:val="tx1"/>
            </w14:solidFill>
          </w14:textFill>
        </w:rPr>
        <w:t>“</w:t>
      </w:r>
      <w:r>
        <w:rPr>
          <w:rFonts w:ascii="Times New Roman" w:hAnsi="Times New Roman" w:eastAsia="宋体" w:cs="Times New Roman"/>
          <w:color w:val="000000" w:themeColor="text1"/>
          <w:spacing w:val="-5"/>
          <w:sz w:val="24"/>
          <w14:textFill>
            <w14:solidFill>
              <w14:schemeClr w14:val="tx1"/>
            </w14:solidFill>
          </w14:textFill>
        </w:rPr>
        <w:t>被动</w:t>
      </w:r>
      <w:r>
        <w:rPr>
          <w:rFonts w:hint="eastAsia" w:ascii="Times New Roman" w:hAnsi="Times New Roman" w:eastAsia="宋体" w:cs="Times New Roman"/>
          <w:color w:val="000000" w:themeColor="text1"/>
          <w:spacing w:val="-5"/>
          <w:sz w:val="24"/>
          <w14:textFill>
            <w14:solidFill>
              <w14:schemeClr w14:val="tx1"/>
            </w14:solidFill>
          </w14:textFill>
        </w:rPr>
        <w:t>”</w:t>
      </w:r>
      <w:r>
        <w:rPr>
          <w:rFonts w:ascii="Times New Roman" w:hAnsi="Times New Roman" w:eastAsia="宋体" w:cs="Times New Roman"/>
          <w:color w:val="000000" w:themeColor="text1"/>
          <w:spacing w:val="-5"/>
          <w:sz w:val="24"/>
          <w14:textFill>
            <w14:solidFill>
              <w14:schemeClr w14:val="tx1"/>
            </w14:solidFill>
          </w14:textFill>
        </w:rPr>
        <w:t>为</w:t>
      </w:r>
      <w:r>
        <w:rPr>
          <w:rFonts w:hint="eastAsia" w:ascii="Times New Roman" w:hAnsi="Times New Roman" w:eastAsia="宋体" w:cs="Times New Roman"/>
          <w:color w:val="000000" w:themeColor="text1"/>
          <w:spacing w:val="-5"/>
          <w:sz w:val="24"/>
          <w14:textFill>
            <w14:solidFill>
              <w14:schemeClr w14:val="tx1"/>
            </w14:solidFill>
          </w14:textFill>
        </w:rPr>
        <w:t>“</w:t>
      </w:r>
      <w:r>
        <w:rPr>
          <w:rFonts w:ascii="Times New Roman" w:hAnsi="Times New Roman" w:eastAsia="宋体" w:cs="Times New Roman"/>
          <w:color w:val="000000" w:themeColor="text1"/>
          <w:spacing w:val="-5"/>
          <w:sz w:val="24"/>
          <w14:textFill>
            <w14:solidFill>
              <w14:schemeClr w14:val="tx1"/>
            </w14:solidFill>
          </w14:textFill>
        </w:rPr>
        <w:t>主动</w:t>
      </w:r>
      <w:r>
        <w:rPr>
          <w:rFonts w:hint="eastAsia" w:ascii="Times New Roman" w:hAnsi="Times New Roman" w:eastAsia="宋体" w:cs="Times New Roman"/>
          <w:color w:val="000000" w:themeColor="text1"/>
          <w:spacing w:val="-5"/>
          <w:sz w:val="24"/>
          <w14:textFill>
            <w14:solidFill>
              <w14:schemeClr w14:val="tx1"/>
            </w14:solidFill>
          </w14:textFill>
        </w:rPr>
        <w:t>”</w:t>
      </w:r>
      <w:r>
        <w:rPr>
          <w:rFonts w:ascii="Times New Roman" w:hAnsi="Times New Roman" w:eastAsia="宋体" w:cs="Times New Roman"/>
          <w:color w:val="000000" w:themeColor="text1"/>
          <w:spacing w:val="-5"/>
          <w:sz w:val="24"/>
          <w14:textFill>
            <w14:solidFill>
              <w14:schemeClr w14:val="tx1"/>
            </w14:solidFill>
          </w14:textFill>
        </w:rPr>
        <w:t>，在学习过程中尽可能发挥主观能动性，学以致用培养其分析与判断能力。</w:t>
      </w:r>
    </w:p>
    <w:p>
      <w:pPr>
        <w:spacing w:line="300" w:lineRule="auto"/>
        <w:ind w:firstLine="480" w:firstLineChars="200"/>
        <w:rPr>
          <w:rFonts w:ascii="Times New Roman" w:hAnsi="Times New Roman" w:eastAsia="宋体" w:cs="Times New Roman"/>
          <w:color w:val="000000" w:themeColor="text1"/>
          <w:spacing w:val="-5"/>
          <w:sz w:val="24"/>
          <w14:textFill>
            <w14:solidFill>
              <w14:schemeClr w14:val="tx1"/>
            </w14:solidFill>
          </w14:textFill>
        </w:rPr>
      </w:pPr>
      <w:bookmarkStart w:id="60" w:name="_Toc82109021"/>
      <w:bookmarkStart w:id="61" w:name="_Toc85097224"/>
      <w:r>
        <w:rPr>
          <w:rFonts w:hint="eastAsia" w:ascii="Times New Roman" w:hAnsi="Times New Roman" w:eastAsia="宋体" w:cs="Times New Roman"/>
          <w:sz w:val="24"/>
        </w:rPr>
        <w:t>三是</w:t>
      </w:r>
      <w:r>
        <w:rPr>
          <w:rFonts w:ascii="Times New Roman" w:hAnsi="Times New Roman" w:eastAsia="宋体" w:cs="Times New Roman"/>
          <w:sz w:val="24"/>
        </w:rPr>
        <w:t>实践教学流于形式，难以实现差异化教学</w:t>
      </w:r>
      <w:bookmarkEnd w:id="60"/>
      <w:bookmarkEnd w:id="61"/>
      <w:r>
        <w:rPr>
          <w:rFonts w:hint="eastAsia" w:ascii="Times New Roman" w:hAnsi="Times New Roman" w:eastAsia="宋体" w:cs="Times New Roman"/>
          <w:sz w:val="24"/>
        </w:rPr>
        <w:t>。</w:t>
      </w:r>
      <w:r>
        <w:rPr>
          <w:rFonts w:ascii="Times New Roman" w:hAnsi="Times New Roman" w:eastAsia="宋体" w:cs="Times New Roman"/>
          <w:color w:val="000000" w:themeColor="text1"/>
          <w:spacing w:val="-5"/>
          <w:sz w:val="24"/>
          <w14:textFill>
            <w14:solidFill>
              <w14:schemeClr w14:val="tx1"/>
            </w14:solidFill>
          </w14:textFill>
        </w:rPr>
        <w:t>国际贸易专业课的涉外性与实践性，也决定了其实践教学体系在整个课程教学中占据重要地位。课堂中可采取边干边学的教学方法，对贸易流程进行情境实践模拟，如与客户建立联系、交易磋商、合同签订、合同履行等。另外，实训课中利用某些外贸软件平台，课后结合学科竞赛，进一步提升实践教学质量。然而，在实际教学中，往往是大班上课，影响了教学效率与效果，因为学生间水平迥异，填制各类单据时进度不一，教师对学生单独指导的精力也有限；小组提交实践报告时存在</w:t>
      </w:r>
      <w:r>
        <w:rPr>
          <w:rFonts w:hint="eastAsia" w:ascii="Times New Roman" w:hAnsi="Times New Roman" w:eastAsia="宋体" w:cs="Times New Roman"/>
          <w:color w:val="000000" w:themeColor="text1"/>
          <w:spacing w:val="-5"/>
          <w:sz w:val="24"/>
          <w14:textFill>
            <w14:solidFill>
              <w14:schemeClr w14:val="tx1"/>
            </w14:solidFill>
          </w14:textFill>
        </w:rPr>
        <w:t>“</w:t>
      </w:r>
      <w:r>
        <w:rPr>
          <w:rFonts w:ascii="Times New Roman" w:hAnsi="Times New Roman" w:eastAsia="宋体" w:cs="Times New Roman"/>
          <w:color w:val="000000" w:themeColor="text1"/>
          <w:spacing w:val="-5"/>
          <w:sz w:val="24"/>
          <w14:textFill>
            <w14:solidFill>
              <w14:schemeClr w14:val="tx1"/>
            </w14:solidFill>
          </w14:textFill>
        </w:rPr>
        <w:t>搭便车</w:t>
      </w:r>
      <w:r>
        <w:rPr>
          <w:rFonts w:hint="eastAsia" w:ascii="Times New Roman" w:hAnsi="Times New Roman" w:eastAsia="宋体" w:cs="Times New Roman"/>
          <w:color w:val="000000" w:themeColor="text1"/>
          <w:spacing w:val="-5"/>
          <w:sz w:val="24"/>
          <w14:textFill>
            <w14:solidFill>
              <w14:schemeClr w14:val="tx1"/>
            </w14:solidFill>
          </w14:textFill>
        </w:rPr>
        <w:t>”</w:t>
      </w:r>
      <w:r>
        <w:rPr>
          <w:rFonts w:ascii="Times New Roman" w:hAnsi="Times New Roman" w:eastAsia="宋体" w:cs="Times New Roman"/>
          <w:color w:val="000000" w:themeColor="text1"/>
          <w:spacing w:val="-5"/>
          <w:sz w:val="24"/>
          <w14:textFill>
            <w14:solidFill>
              <w14:schemeClr w14:val="tx1"/>
            </w14:solidFill>
          </w14:textFill>
        </w:rPr>
        <w:t>现象，且撰写不规范，实践结果评价无法做到完全公平公正。种种原因导致实践教学流于形式，无法做到差异化教学，最终导致实践教学效果较差，并未对理论教学产生明显的辅助作用。</w:t>
      </w:r>
    </w:p>
    <w:p>
      <w:pPr>
        <w:spacing w:line="300" w:lineRule="auto"/>
        <w:ind w:firstLine="480" w:firstLineChars="200"/>
        <w:rPr>
          <w:rFonts w:ascii="宋体" w:hAnsi="宋体" w:eastAsia="宋体" w:cs="Times New Roman"/>
          <w:color w:val="000000" w:themeColor="text1"/>
          <w:spacing w:val="-5"/>
          <w:sz w:val="24"/>
          <w14:textFill>
            <w14:solidFill>
              <w14:schemeClr w14:val="tx1"/>
            </w14:solidFill>
          </w14:textFill>
        </w:rPr>
      </w:pPr>
      <w:bookmarkStart w:id="62" w:name="_Toc85097225"/>
      <w:bookmarkStart w:id="63" w:name="_Toc82109022"/>
      <w:r>
        <w:rPr>
          <w:rFonts w:hint="eastAsia" w:ascii="Times New Roman" w:hAnsi="Times New Roman" w:eastAsia="宋体" w:cs="Times New Roman"/>
          <w:sz w:val="24"/>
        </w:rPr>
        <w:t>四是</w:t>
      </w:r>
      <w:r>
        <w:rPr>
          <w:rFonts w:ascii="Times New Roman" w:hAnsi="Times New Roman" w:eastAsia="宋体" w:cs="Times New Roman"/>
          <w:sz w:val="24"/>
        </w:rPr>
        <w:t>课程考核评价单一，无法体现高阶思维能力</w:t>
      </w:r>
      <w:bookmarkEnd w:id="62"/>
      <w:bookmarkEnd w:id="63"/>
      <w:r>
        <w:rPr>
          <w:rFonts w:hint="eastAsia" w:ascii="Times New Roman" w:hAnsi="Times New Roman" w:eastAsia="宋体" w:cs="Times New Roman"/>
          <w:sz w:val="24"/>
        </w:rPr>
        <w:t>。</w:t>
      </w:r>
      <w:r>
        <w:rPr>
          <w:rFonts w:ascii="Times New Roman" w:hAnsi="Times New Roman" w:eastAsia="宋体" w:cs="Times New Roman"/>
          <w:color w:val="000000" w:themeColor="text1"/>
          <w:spacing w:val="-5"/>
          <w:sz w:val="24"/>
          <w14:textFill>
            <w14:solidFill>
              <w14:schemeClr w14:val="tx1"/>
            </w14:solidFill>
          </w14:textFill>
        </w:rPr>
        <w:t>传统国际贸易实务课程考核方式一般由平时成绩与期末成绩构成，平时成绩占比较小，包括出勤情况、课堂互动、作业完成等，有时还包括一些课程实验内容；期末成绩占比较高，往往以闭卷考试形式进行，严格的标准答案，缺乏探索性、研究性与创新性。如此以分数定胜负的单一考核方式导致有的同学平时很认真但考试心态不行，导致最终得分不高进而丧失学习积极性，还有部分学生平时不学习，在考前突击记忆知识点，甚至因为是标准答案式，有的学生在考试中企图通过教师考前复习重点做出一些违纪行为。就算这门课程考试通过，也仅表示其通过考试拿到了学分而已，其高阶思维能力提升与否不得而知。因此，在教学改革中完善的考核评价体系意义重大。在课程考核上应注重考评方式的多样化与考评指标的规范化，促使学生调整学习态度，激励学生自觉学习。为了能更好体现学生的表现性评价，需将评价融合在课程教学过程中，体现学生的综合素质能力，</w:t>
      </w:r>
      <w:r>
        <w:rPr>
          <w:rFonts w:ascii="宋体" w:hAnsi="宋体" w:eastAsia="宋体" w:cs="Times New Roman"/>
          <w:color w:val="000000" w:themeColor="text1"/>
          <w:spacing w:val="-5"/>
          <w:sz w:val="24"/>
          <w14:textFill>
            <w14:solidFill>
              <w14:schemeClr w14:val="tx1"/>
            </w14:solidFill>
          </w14:textFill>
        </w:rPr>
        <w:t>而非“一招定胜负”</w:t>
      </w:r>
      <w:r>
        <w:rPr>
          <w:rFonts w:hint="eastAsia" w:ascii="宋体" w:hAnsi="宋体" w:eastAsia="宋体" w:cs="Times New Roman"/>
          <w:color w:val="000000" w:themeColor="text1"/>
          <w:spacing w:val="-5"/>
          <w:sz w:val="24"/>
          <w14:textFill>
            <w14:solidFill>
              <w14:schemeClr w14:val="tx1"/>
            </w14:solidFill>
          </w14:textFill>
        </w:rPr>
        <w:t>。</w:t>
      </w:r>
    </w:p>
    <w:p>
      <w:pPr>
        <w:spacing w:line="300" w:lineRule="auto"/>
        <w:rPr>
          <w:rFonts w:ascii="宋体" w:hAnsi="宋体" w:eastAsia="宋体" w:cs="Times New Roman"/>
          <w:color w:val="000000" w:themeColor="text1"/>
          <w:spacing w:val="-5"/>
          <w:sz w:val="24"/>
          <w14:textFill>
            <w14:solidFill>
              <w14:schemeClr w14:val="tx1"/>
            </w14:solidFill>
          </w14:textFill>
        </w:rPr>
      </w:pPr>
    </w:p>
    <w:p>
      <w:pPr>
        <w:tabs>
          <w:tab w:val="left" w:pos="312"/>
        </w:tabs>
        <w:spacing w:before="312" w:beforeLines="100" w:after="312" w:afterLines="100" w:line="300" w:lineRule="auto"/>
        <w:outlineLvl w:val="0"/>
        <w:rPr>
          <w:rFonts w:ascii="黑体" w:hAnsi="黑体" w:eastAsia="黑体" w:cs="Times New Roman"/>
          <w:bCs/>
          <w:sz w:val="32"/>
          <w:szCs w:val="32"/>
        </w:rPr>
      </w:pPr>
      <w:bookmarkStart w:id="64" w:name="_Toc89440965"/>
      <w:bookmarkStart w:id="65" w:name="_Toc85097226"/>
      <w:bookmarkStart w:id="66" w:name="_Toc102337686"/>
      <w:bookmarkStart w:id="67" w:name="_Toc89439459"/>
      <w:bookmarkStart w:id="68" w:name="_Toc101980929"/>
      <w:bookmarkStart w:id="69" w:name="_Toc82109023"/>
      <w:r>
        <w:rPr>
          <w:rFonts w:ascii="黑体" w:hAnsi="黑体" w:eastAsia="黑体" w:cs="Times New Roman"/>
          <w:bCs/>
          <w:sz w:val="32"/>
          <w:szCs w:val="32"/>
        </w:rPr>
        <w:t>3 课程教学设计与实施</w:t>
      </w:r>
      <w:bookmarkEnd w:id="64"/>
      <w:bookmarkEnd w:id="65"/>
      <w:bookmarkEnd w:id="66"/>
      <w:bookmarkEnd w:id="67"/>
      <w:bookmarkEnd w:id="68"/>
      <w:bookmarkEnd w:id="69"/>
    </w:p>
    <w:p>
      <w:pPr>
        <w:pStyle w:val="3"/>
        <w:spacing w:before="0" w:after="0" w:line="300" w:lineRule="auto"/>
        <w:rPr>
          <w:rFonts w:ascii="楷体" w:hAnsi="楷体" w:eastAsia="楷体" w:cs="Times New Roman"/>
          <w:sz w:val="28"/>
          <w:szCs w:val="21"/>
        </w:rPr>
      </w:pPr>
      <w:bookmarkStart w:id="70" w:name="_Toc101980930"/>
      <w:bookmarkStart w:id="71" w:name="_Toc102337687"/>
      <w:bookmarkStart w:id="72" w:name="_Toc85097227"/>
      <w:bookmarkStart w:id="73" w:name="_Toc89439460"/>
      <w:bookmarkStart w:id="74" w:name="_Toc89440966"/>
      <w:bookmarkStart w:id="75" w:name="_Toc82109024"/>
      <w:r>
        <w:rPr>
          <w:rFonts w:ascii="楷体" w:hAnsi="楷体" w:eastAsia="楷体" w:cs="Times New Roman"/>
          <w:sz w:val="28"/>
          <w:szCs w:val="21"/>
        </w:rPr>
        <w:t>3.1 课程教学设计</w:t>
      </w:r>
      <w:bookmarkEnd w:id="70"/>
      <w:bookmarkEnd w:id="71"/>
      <w:bookmarkEnd w:id="72"/>
      <w:bookmarkEnd w:id="73"/>
      <w:bookmarkEnd w:id="74"/>
      <w:bookmarkEnd w:id="75"/>
    </w:p>
    <w:p>
      <w:pPr>
        <w:pStyle w:val="3"/>
        <w:spacing w:before="0" w:after="0" w:line="300" w:lineRule="auto"/>
        <w:rPr>
          <w:rFonts w:ascii="黑体" w:hAnsi="黑体" w:cs="Times New Roman"/>
          <w:b w:val="0"/>
          <w:color w:val="000000" w:themeColor="text1"/>
          <w:sz w:val="24"/>
          <w14:textFill>
            <w14:solidFill>
              <w14:schemeClr w14:val="tx1"/>
            </w14:solidFill>
          </w14:textFill>
        </w:rPr>
      </w:pPr>
      <w:bookmarkStart w:id="76" w:name="_Toc82109025"/>
      <w:bookmarkStart w:id="77" w:name="_Toc101980931"/>
      <w:bookmarkStart w:id="78" w:name="_Toc89439461"/>
      <w:bookmarkStart w:id="79" w:name="_Toc102337688"/>
      <w:bookmarkStart w:id="80" w:name="_Toc85097228"/>
      <w:bookmarkStart w:id="81" w:name="_Toc89440967"/>
      <w:r>
        <w:rPr>
          <w:rFonts w:ascii="黑体" w:hAnsi="黑体" w:cs="Times New Roman"/>
          <w:b w:val="0"/>
          <w:color w:val="000000" w:themeColor="text1"/>
          <w:sz w:val="24"/>
          <w14:textFill>
            <w14:solidFill>
              <w14:schemeClr w14:val="tx1"/>
            </w14:solidFill>
          </w14:textFill>
        </w:rPr>
        <w:t>3.1.1 课程设计思路</w:t>
      </w:r>
      <w:bookmarkEnd w:id="76"/>
      <w:bookmarkEnd w:id="77"/>
      <w:bookmarkEnd w:id="78"/>
      <w:bookmarkEnd w:id="79"/>
      <w:bookmarkEnd w:id="80"/>
      <w:bookmarkEnd w:id="81"/>
    </w:p>
    <w:p>
      <w:pPr>
        <w:spacing w:line="300" w:lineRule="auto"/>
        <w:ind w:firstLine="460" w:firstLineChars="200"/>
        <w:rPr>
          <w:rFonts w:ascii="Times New Roman" w:hAnsi="Times New Roman" w:eastAsia="宋体" w:cs="Times New Roman"/>
          <w:color w:val="000000" w:themeColor="text1"/>
          <w:spacing w:val="-5"/>
          <w:sz w:val="24"/>
          <w14:textFill>
            <w14:solidFill>
              <w14:schemeClr w14:val="tx1"/>
            </w14:solidFill>
          </w14:textFill>
        </w:rPr>
      </w:pPr>
      <w:r>
        <w:rPr>
          <w:rFonts w:ascii="Times New Roman" w:hAnsi="Times New Roman" w:eastAsia="宋体" w:cs="Times New Roman"/>
          <w:color w:val="000000" w:themeColor="text1"/>
          <w:spacing w:val="-5"/>
          <w:sz w:val="24"/>
          <w14:textFill>
            <w14:solidFill>
              <w14:schemeClr w14:val="tx1"/>
            </w14:solidFill>
          </w14:textFill>
        </w:rPr>
        <w:t>针对《国际贸易实务》课程目前存在的问题，教学期间需让学生主动参与，培养自主学习能力，在课堂教学中开展情景教学很有必要。即基于智慧教学平台的线上学习+情景学习+线下翻转课堂的混合式教学模式。通过完成各项工作任务掌握专业知识和实际操作能力，并有效培养批判性思维与发散思维，实现高阶思维能力提升。</w:t>
      </w:r>
    </w:p>
    <w:p>
      <w:pPr>
        <w:spacing w:line="300" w:lineRule="auto"/>
        <w:ind w:firstLine="460" w:firstLineChars="200"/>
        <w:rPr>
          <w:rFonts w:ascii="Times New Roman" w:hAnsi="Times New Roman" w:eastAsia="宋体" w:cs="Times New Roman"/>
          <w:color w:val="000000" w:themeColor="text1"/>
          <w:spacing w:val="-5"/>
          <w:sz w:val="24"/>
          <w14:textFill>
            <w14:solidFill>
              <w14:schemeClr w14:val="tx1"/>
            </w14:solidFill>
          </w14:textFill>
        </w:rPr>
      </w:pPr>
      <w:r>
        <w:rPr>
          <w:rFonts w:ascii="Times New Roman" w:hAnsi="Times New Roman" w:eastAsia="宋体" w:cs="Times New Roman"/>
          <w:color w:val="000000" w:themeColor="text1"/>
          <w:spacing w:val="-5"/>
          <w:sz w:val="24"/>
          <w14:textFill>
            <w14:solidFill>
              <w14:schemeClr w14:val="tx1"/>
            </w14:solidFill>
          </w14:textFill>
        </w:rPr>
        <w:t>《国际贸易实务》教学设计思路</w:t>
      </w:r>
      <w:r>
        <w:rPr>
          <w:rFonts w:hint="eastAsia" w:ascii="Times New Roman" w:hAnsi="Times New Roman" w:eastAsia="宋体" w:cs="Times New Roman"/>
          <w:color w:val="000000" w:themeColor="text1"/>
          <w:spacing w:val="-5"/>
          <w:sz w:val="24"/>
          <w14:textFill>
            <w14:solidFill>
              <w14:schemeClr w14:val="tx1"/>
            </w14:solidFill>
          </w14:textFill>
        </w:rPr>
        <w:t>（见图3</w:t>
      </w:r>
      <w:r>
        <w:rPr>
          <w:rFonts w:ascii="Times New Roman" w:hAnsi="Times New Roman" w:eastAsia="宋体" w:cs="Times New Roman"/>
          <w:color w:val="000000" w:themeColor="text1"/>
          <w:spacing w:val="-5"/>
          <w:sz w:val="24"/>
          <w14:textFill>
            <w14:solidFill>
              <w14:schemeClr w14:val="tx1"/>
            </w14:solidFill>
          </w14:textFill>
        </w:rPr>
        <w:t>-1</w:t>
      </w:r>
      <w:r>
        <w:rPr>
          <w:rFonts w:hint="eastAsia" w:ascii="Times New Roman" w:hAnsi="Times New Roman" w:eastAsia="宋体" w:cs="Times New Roman"/>
          <w:color w:val="000000" w:themeColor="text1"/>
          <w:spacing w:val="-5"/>
          <w:sz w:val="24"/>
          <w14:textFill>
            <w14:solidFill>
              <w14:schemeClr w14:val="tx1"/>
            </w14:solidFill>
          </w14:textFill>
        </w:rPr>
        <w:t>）</w:t>
      </w:r>
      <w:r>
        <w:rPr>
          <w:rFonts w:ascii="Times New Roman" w:hAnsi="Times New Roman" w:eastAsia="宋体" w:cs="Times New Roman"/>
          <w:color w:val="000000" w:themeColor="text1"/>
          <w:spacing w:val="-5"/>
          <w:sz w:val="24"/>
          <w14:textFill>
            <w14:solidFill>
              <w14:schemeClr w14:val="tx1"/>
            </w14:solidFill>
          </w14:textFill>
        </w:rPr>
        <w:t>主要从课程内容与结构分析、课程学习情境化项目来源、情境任务的具体实施步骤等角度来进行。首先，教师需根据教学理念与教学大纲，调整课程内容与结构，明确教学目标，课前在学习平台导入慕课视频与课件以讲解本次教学重难点，实现浅层认知学习；其次，组建专业教师队伍，根据实际外贸案例创设、预评估并分解情境任务；再次，课中师生间、生生间通过面对面交流探讨，分析问题并对知识进行深度加工重构，根据情境任务分组并分配角色，此间教师做好</w:t>
      </w:r>
      <w:r>
        <w:rPr>
          <w:rFonts w:hint="eastAsia" w:ascii="Times New Roman" w:hAnsi="Times New Roman" w:eastAsia="宋体" w:cs="Times New Roman"/>
          <w:color w:val="000000" w:themeColor="text1"/>
          <w:spacing w:val="-5"/>
          <w:sz w:val="24"/>
          <w14:textFill>
            <w14:solidFill>
              <w14:schemeClr w14:val="tx1"/>
            </w14:solidFill>
          </w14:textFill>
        </w:rPr>
        <w:t>“</w:t>
      </w:r>
      <w:r>
        <w:rPr>
          <w:rFonts w:ascii="Times New Roman" w:hAnsi="Times New Roman" w:eastAsia="宋体" w:cs="Times New Roman"/>
          <w:color w:val="000000" w:themeColor="text1"/>
          <w:spacing w:val="-5"/>
          <w:sz w:val="24"/>
          <w14:textFill>
            <w14:solidFill>
              <w14:schemeClr w14:val="tx1"/>
            </w14:solidFill>
          </w14:textFill>
        </w:rPr>
        <w:t>导而弗牵</w:t>
      </w:r>
      <w:r>
        <w:rPr>
          <w:rFonts w:hint="eastAsia" w:ascii="Times New Roman" w:hAnsi="Times New Roman" w:eastAsia="宋体" w:cs="Times New Roman"/>
          <w:color w:val="000000" w:themeColor="text1"/>
          <w:spacing w:val="-5"/>
          <w:sz w:val="24"/>
          <w14:textFill>
            <w14:solidFill>
              <w14:schemeClr w14:val="tx1"/>
            </w14:solidFill>
          </w14:textFill>
        </w:rPr>
        <w:t>”</w:t>
      </w:r>
      <w:r>
        <w:rPr>
          <w:rFonts w:ascii="Times New Roman" w:hAnsi="Times New Roman" w:eastAsia="宋体" w:cs="Times New Roman"/>
          <w:color w:val="000000" w:themeColor="text1"/>
          <w:spacing w:val="-5"/>
          <w:sz w:val="24"/>
          <w14:textFill>
            <w14:solidFill>
              <w14:schemeClr w14:val="tx1"/>
            </w14:solidFill>
          </w14:textFill>
        </w:rPr>
        <w:t>的工作，让学生在教师的引导、自主学习讨论、协同工作、有效沟通中，用批判性思维解决各类问题；最后，表现性评价是评价深度学习的主要成分，在课堂实施过程中应注意进行教育性评价，将评价与课程内容整合在一起，对情境任务的实施进行反馈与评价，如学生自评、组间/内互评、教师点评等。至此，一项任务并未真正结束，课后教师还需认真进行教学反思，对本次任务进行再评估，并深化加工，以便更好指导下一个情境任务。另外，教师根据学生完成情况，在线推送一些优质教学资源和作业，引导学生拓展学习，强化思维方式，并将所习知识进行迁移与运用，培养高阶思维能力。</w:t>
      </w:r>
    </w:p>
    <w:p>
      <w:pPr>
        <w:spacing w:line="300" w:lineRule="auto"/>
        <w:ind w:firstLine="460" w:firstLineChars="200"/>
        <w:rPr>
          <w:rFonts w:ascii="Times New Roman" w:hAnsi="Times New Roman" w:eastAsia="宋体" w:cs="Times New Roman"/>
          <w:color w:val="000000" w:themeColor="text1"/>
          <w:spacing w:val="-5"/>
          <w:sz w:val="24"/>
          <w14:textFill>
            <w14:solidFill>
              <w14:schemeClr w14:val="tx1"/>
            </w14:solidFill>
          </w14:textFill>
        </w:rPr>
      </w:pPr>
      <w:r>
        <w:rPr>
          <w:rFonts w:hint="eastAsia" w:ascii="Times New Roman" w:hAnsi="Times New Roman" w:eastAsia="宋体" w:cs="Times New Roman"/>
          <w:color w:val="000000" w:themeColor="text1"/>
          <w:spacing w:val="-5"/>
          <w:sz w:val="24"/>
          <w14:textFill>
            <w14:solidFill>
              <w14:schemeClr w14:val="tx1"/>
            </w14:solidFill>
          </w14:textFill>
        </w:rPr>
        <w:t>掌握专业知识技能是教学目标的一部分，在课程教学中教师还需不断培养学生开拓创新精神、团队协作能力，及运用所学知识批判性地、触类旁通地解决实际问题等高阶能力。为在课程教学中融入思政教育，本课程教学设计由学生自主学习，教师根据情境项目任务适时融入思政元素。以情境教学项目为切入点，在教学过程中将思政元素分散融入根据外贸实务操作流程设置的四个情境项目微观教学中，以思政漫灌</w:t>
      </w:r>
      <w:r>
        <w:rPr>
          <w:rFonts w:ascii="Times New Roman" w:hAnsi="Times New Roman" w:eastAsia="宋体" w:cs="Times New Roman"/>
          <w:color w:val="000000" w:themeColor="text1"/>
          <w:spacing w:val="-5"/>
          <w:sz w:val="24"/>
          <w14:textFill>
            <w14:solidFill>
              <w14:schemeClr w14:val="tx1"/>
            </w14:solidFill>
          </w14:textFill>
        </w:rPr>
        <w:t>+滴灌方式产生远大于课中45分钟教学的效果，达到</w:t>
      </w:r>
      <w:r>
        <w:rPr>
          <w:rFonts w:hint="eastAsia" w:ascii="Times New Roman" w:hAnsi="Times New Roman" w:eastAsia="宋体" w:cs="Times New Roman"/>
          <w:color w:val="000000" w:themeColor="text1"/>
          <w:spacing w:val="-5"/>
          <w:sz w:val="24"/>
          <w14:textFill>
            <w14:solidFill>
              <w14:schemeClr w14:val="tx1"/>
            </w14:solidFill>
          </w14:textFill>
        </w:rPr>
        <w:t>“</w:t>
      </w:r>
      <w:r>
        <w:rPr>
          <w:rFonts w:ascii="Times New Roman" w:hAnsi="Times New Roman" w:eastAsia="宋体" w:cs="Times New Roman"/>
          <w:color w:val="000000" w:themeColor="text1"/>
          <w:spacing w:val="-5"/>
          <w:sz w:val="24"/>
          <w14:textFill>
            <w14:solidFill>
              <w14:schemeClr w14:val="tx1"/>
            </w14:solidFill>
          </w14:textFill>
        </w:rPr>
        <w:t>三全育人</w:t>
      </w:r>
      <w:r>
        <w:rPr>
          <w:rFonts w:hint="eastAsia" w:ascii="Times New Roman" w:hAnsi="Times New Roman" w:eastAsia="宋体" w:cs="Times New Roman"/>
          <w:color w:val="000000" w:themeColor="text1"/>
          <w:spacing w:val="-5"/>
          <w:sz w:val="24"/>
          <w14:textFill>
            <w14:solidFill>
              <w14:schemeClr w14:val="tx1"/>
            </w14:solidFill>
          </w14:textFill>
        </w:rPr>
        <w:t>”</w:t>
      </w:r>
      <w:r>
        <w:rPr>
          <w:rFonts w:ascii="Times New Roman" w:hAnsi="Times New Roman" w:eastAsia="宋体" w:cs="Times New Roman"/>
          <w:color w:val="000000" w:themeColor="text1"/>
          <w:spacing w:val="-5"/>
          <w:sz w:val="24"/>
          <w14:textFill>
            <w14:solidFill>
              <w14:schemeClr w14:val="tx1"/>
            </w14:solidFill>
          </w14:textFill>
        </w:rPr>
        <w:t>目标。</w:t>
      </w:r>
      <w:r>
        <w:rPr>
          <w:rFonts w:hint="eastAsia" w:ascii="Times New Roman" w:hAnsi="Times New Roman" w:eastAsia="宋体" w:cs="Times New Roman"/>
          <w:color w:val="000000" w:themeColor="text1"/>
          <w:spacing w:val="-5"/>
          <w:sz w:val="24"/>
          <w14:textFill>
            <w14:solidFill>
              <w14:schemeClr w14:val="tx1"/>
            </w14:solidFill>
          </w14:textFill>
        </w:rPr>
        <w:t>如图3</w:t>
      </w:r>
      <w:r>
        <w:rPr>
          <w:rFonts w:ascii="Times New Roman" w:hAnsi="Times New Roman" w:eastAsia="宋体" w:cs="Times New Roman"/>
          <w:color w:val="000000" w:themeColor="text1"/>
          <w:spacing w:val="-5"/>
          <w:sz w:val="24"/>
          <w14:textFill>
            <w14:solidFill>
              <w14:schemeClr w14:val="tx1"/>
            </w14:solidFill>
          </w14:textFill>
        </w:rPr>
        <w:t>-2</w:t>
      </w:r>
      <w:r>
        <w:rPr>
          <w:rFonts w:hint="eastAsia" w:ascii="Times New Roman" w:hAnsi="Times New Roman" w:eastAsia="宋体" w:cs="Times New Roman"/>
          <w:color w:val="000000" w:themeColor="text1"/>
          <w:spacing w:val="-5"/>
          <w:sz w:val="24"/>
          <w14:textFill>
            <w14:solidFill>
              <w14:schemeClr w14:val="tx1"/>
            </w14:solidFill>
          </w14:textFill>
        </w:rPr>
        <w:t>所示。</w:t>
      </w:r>
    </w:p>
    <w:p>
      <w:pPr>
        <w:spacing w:line="300" w:lineRule="auto"/>
        <w:ind w:firstLine="400" w:firstLineChars="200"/>
        <w:rPr>
          <w:rFonts w:ascii="Times New Roman" w:hAnsi="Times New Roman" w:eastAsia="宋体" w:cs="Times New Roman"/>
          <w:color w:val="000000" w:themeColor="text1"/>
          <w:spacing w:val="-5"/>
          <w:szCs w:val="21"/>
          <w14:textFill>
            <w14:solidFill>
              <w14:schemeClr w14:val="tx1"/>
            </w14:solidFill>
          </w14:textFill>
        </w:rPr>
      </w:pPr>
    </w:p>
    <w:p>
      <w:pPr>
        <w:spacing w:line="300" w:lineRule="auto"/>
        <w:jc w:val="center"/>
        <w:rPr>
          <w:rFonts w:ascii="Times New Roman" w:hAnsi="Times New Roman" w:cs="Times New Roman"/>
        </w:rPr>
      </w:pPr>
      <w:r>
        <w:rPr>
          <w:rFonts w:ascii="Times New Roman" w:hAnsi="Times New Roman" w:cs="Times New Roman"/>
        </w:rPr>
        <w:pict>
          <v:shape id="_x0000_i1025" o:spt="75" type="#_x0000_t75" style="height:148.4pt;width:398.8pt;" filled="f" coordsize="21600,21600">
            <v:path/>
            <v:fill on="f" focussize="0,0"/>
            <v:stroke/>
            <v:imagedata r:id="rId9" o:title=""/>
            <o:lock v:ext="edit" aspectratio="t"/>
            <w10:wrap type="none"/>
            <w10:anchorlock/>
          </v:shape>
        </w:pict>
      </w:r>
    </w:p>
    <w:p>
      <w:pPr>
        <w:spacing w:line="300" w:lineRule="auto"/>
        <w:jc w:val="center"/>
        <w:rPr>
          <w:rFonts w:ascii="黑体" w:hAnsi="黑体" w:eastAsia="黑体" w:cs="Times New Roman"/>
          <w:color w:val="000000" w:themeColor="text1"/>
          <w:sz w:val="24"/>
          <w14:textFill>
            <w14:solidFill>
              <w14:schemeClr w14:val="tx1"/>
            </w14:solidFill>
          </w14:textFill>
        </w:rPr>
      </w:pPr>
    </w:p>
    <w:p>
      <w:pPr>
        <w:spacing w:line="300" w:lineRule="auto"/>
        <w:jc w:val="center"/>
        <w:rPr>
          <w:rFonts w:ascii="Times New Roman" w:hAnsi="Times New Roman" w:eastAsia="宋体" w:cs="Times New Roman"/>
          <w:color w:val="000000" w:themeColor="text1"/>
          <w:sz w:val="24"/>
          <w14:textFill>
            <w14:solidFill>
              <w14:schemeClr w14:val="tx1"/>
            </w14:solidFill>
          </w14:textFill>
        </w:rPr>
      </w:pPr>
      <w:r>
        <w:rPr>
          <w:rFonts w:ascii="黑体" w:hAnsi="黑体" w:eastAsia="黑体" w:cs="Times New Roman"/>
          <w:color w:val="000000" w:themeColor="text1"/>
          <w:sz w:val="24"/>
          <w14:textFill>
            <w14:solidFill>
              <w14:schemeClr w14:val="tx1"/>
            </w14:solidFill>
          </w14:textFill>
        </w:rPr>
        <w:t xml:space="preserve">图3-1 </w:t>
      </w:r>
      <w:r>
        <w:rPr>
          <w:rFonts w:ascii="Times New Roman" w:hAnsi="Times New Roman" w:eastAsia="宋体" w:cs="Times New Roman"/>
          <w:color w:val="000000" w:themeColor="text1"/>
          <w:sz w:val="24"/>
          <w14:textFill>
            <w14:solidFill>
              <w14:schemeClr w14:val="tx1"/>
            </w14:solidFill>
          </w14:textFill>
        </w:rPr>
        <w:t>《国际贸易实务》情景混合式教学设计思路</w:t>
      </w:r>
    </w:p>
    <w:p>
      <w:pPr>
        <w:spacing w:line="300" w:lineRule="auto"/>
        <w:jc w:val="center"/>
        <w:rPr>
          <w:rFonts w:ascii="Times New Roman" w:hAnsi="Times New Roman" w:eastAsia="宋体" w:cs="Times New Roman"/>
          <w:color w:val="000000" w:themeColor="text1"/>
          <w:sz w:val="24"/>
          <w14:textFill>
            <w14:solidFill>
              <w14:schemeClr w14:val="tx1"/>
            </w14:solidFill>
          </w14:textFill>
        </w:rPr>
      </w:pPr>
    </w:p>
    <w:p>
      <w:pPr>
        <w:spacing w:line="300" w:lineRule="auto"/>
        <w:jc w:val="center"/>
        <w:rPr>
          <w:rFonts w:ascii="Times New Roman" w:hAnsi="Times New Roman" w:eastAsia="宋体" w:cs="Times New Roman"/>
          <w:color w:val="000000" w:themeColor="text1"/>
          <w:szCs w:val="21"/>
          <w14:textFill>
            <w14:solidFill>
              <w14:schemeClr w14:val="tx1"/>
            </w14:solidFill>
          </w14:textFill>
        </w:rPr>
      </w:pPr>
      <w:r>
        <w:pict>
          <v:shape id="_x0000_i1026" o:spt="75" type="#_x0000_t75" style="height:211pt;width:336.85pt;" filled="f" coordsize="21600,21600">
            <v:path/>
            <v:fill on="f" focussize="0,0"/>
            <v:stroke/>
            <v:imagedata r:id="rId10" o:title=""/>
            <o:lock v:ext="edit" aspectratio="t"/>
            <w10:wrap type="none"/>
            <w10:anchorlock/>
          </v:shape>
        </w:pict>
      </w:r>
    </w:p>
    <w:p>
      <w:pPr>
        <w:spacing w:line="300" w:lineRule="auto"/>
        <w:jc w:val="center"/>
        <w:rPr>
          <w:rFonts w:ascii="黑体" w:hAnsi="黑体" w:eastAsia="黑体" w:cs="Times New Roman"/>
          <w:color w:val="000000" w:themeColor="text1"/>
          <w:sz w:val="24"/>
          <w14:textFill>
            <w14:solidFill>
              <w14:schemeClr w14:val="tx1"/>
            </w14:solidFill>
          </w14:textFill>
        </w:rPr>
      </w:pPr>
    </w:p>
    <w:p>
      <w:pPr>
        <w:spacing w:line="300" w:lineRule="auto"/>
        <w:jc w:val="center"/>
        <w:rPr>
          <w:rFonts w:ascii="黑体" w:hAnsi="黑体" w:eastAsia="黑体" w:cs="Times New Roman"/>
          <w:color w:val="000000" w:themeColor="text1"/>
          <w:sz w:val="24"/>
          <w14:textFill>
            <w14:solidFill>
              <w14:schemeClr w14:val="tx1"/>
            </w14:solidFill>
          </w14:textFill>
        </w:rPr>
      </w:pPr>
      <w:r>
        <w:rPr>
          <w:rFonts w:hint="eastAsia" w:ascii="黑体" w:hAnsi="黑体" w:eastAsia="黑体" w:cs="Times New Roman"/>
          <w:color w:val="000000" w:themeColor="text1"/>
          <w:sz w:val="24"/>
          <w14:textFill>
            <w14:solidFill>
              <w14:schemeClr w14:val="tx1"/>
            </w14:solidFill>
          </w14:textFill>
        </w:rPr>
        <w:t>图</w:t>
      </w:r>
      <w:r>
        <w:rPr>
          <w:rFonts w:ascii="黑体" w:hAnsi="黑体" w:eastAsia="黑体" w:cs="Times New Roman"/>
          <w:color w:val="000000" w:themeColor="text1"/>
          <w:sz w:val="24"/>
          <w14:textFill>
            <w14:solidFill>
              <w14:schemeClr w14:val="tx1"/>
            </w14:solidFill>
          </w14:textFill>
        </w:rPr>
        <w:t>3-2</w:t>
      </w:r>
      <w:r>
        <w:rPr>
          <w:rFonts w:hint="eastAsia" w:ascii="黑体" w:hAnsi="黑体" w:eastAsia="黑体" w:cs="Times New Roman"/>
          <w:color w:val="000000" w:themeColor="text1"/>
          <w:sz w:val="24"/>
          <w14:textFill>
            <w14:solidFill>
              <w14:schemeClr w14:val="tx1"/>
            </w14:solidFill>
          </w14:textFill>
        </w:rPr>
        <w:t xml:space="preserve"> </w:t>
      </w:r>
      <w:r>
        <w:rPr>
          <w:rFonts w:hint="eastAsia" w:ascii="宋体" w:hAnsi="宋体" w:eastAsia="宋体" w:cs="Times New Roman"/>
          <w:color w:val="000000" w:themeColor="text1"/>
          <w:sz w:val="24"/>
          <w14:textFill>
            <w14:solidFill>
              <w14:schemeClr w14:val="tx1"/>
            </w14:solidFill>
          </w14:textFill>
        </w:rPr>
        <w:t>课程思政融入教学内容</w:t>
      </w:r>
    </w:p>
    <w:p>
      <w:pPr>
        <w:spacing w:line="300" w:lineRule="auto"/>
        <w:jc w:val="center"/>
        <w:rPr>
          <w:rFonts w:ascii="Times New Roman" w:hAnsi="Times New Roman" w:eastAsia="宋体" w:cs="Times New Roman"/>
          <w:color w:val="000000" w:themeColor="text1"/>
          <w:sz w:val="24"/>
          <w14:textFill>
            <w14:solidFill>
              <w14:schemeClr w14:val="tx1"/>
            </w14:solidFill>
          </w14:textFill>
        </w:rPr>
      </w:pPr>
    </w:p>
    <w:p>
      <w:pPr>
        <w:pStyle w:val="3"/>
        <w:spacing w:before="0" w:after="0" w:line="300" w:lineRule="auto"/>
        <w:rPr>
          <w:rFonts w:ascii="黑体" w:hAnsi="黑体" w:cs="Times New Roman"/>
          <w:b w:val="0"/>
          <w:color w:val="000000" w:themeColor="text1"/>
          <w:sz w:val="24"/>
          <w14:textFill>
            <w14:solidFill>
              <w14:schemeClr w14:val="tx1"/>
            </w14:solidFill>
          </w14:textFill>
        </w:rPr>
      </w:pPr>
      <w:bookmarkStart w:id="82" w:name="_Toc101980932"/>
      <w:bookmarkStart w:id="83" w:name="_Toc82109026"/>
      <w:bookmarkStart w:id="84" w:name="_Toc89440968"/>
      <w:bookmarkStart w:id="85" w:name="_Toc102337689"/>
      <w:bookmarkStart w:id="86" w:name="_Toc89439462"/>
      <w:bookmarkStart w:id="87" w:name="_Toc85097229"/>
      <w:r>
        <w:rPr>
          <w:rFonts w:ascii="黑体" w:hAnsi="黑体" w:cs="Times New Roman"/>
          <w:b w:val="0"/>
          <w:color w:val="000000" w:themeColor="text1"/>
          <w:sz w:val="24"/>
          <w14:textFill>
            <w14:solidFill>
              <w14:schemeClr w14:val="tx1"/>
            </w14:solidFill>
          </w14:textFill>
        </w:rPr>
        <w:t>3.1.2 课程教学内容设计</w:t>
      </w:r>
      <w:bookmarkEnd w:id="82"/>
      <w:bookmarkEnd w:id="83"/>
      <w:bookmarkEnd w:id="84"/>
      <w:bookmarkEnd w:id="85"/>
      <w:bookmarkEnd w:id="86"/>
      <w:bookmarkEnd w:id="87"/>
    </w:p>
    <w:p>
      <w:pPr>
        <w:spacing w:line="300" w:lineRule="auto"/>
        <w:ind w:firstLine="460" w:firstLineChars="200"/>
        <w:rPr>
          <w:rFonts w:ascii="宋体" w:hAnsi="宋体" w:eastAsia="宋体" w:cs="Times New Roman"/>
          <w:color w:val="000000" w:themeColor="text1"/>
          <w:spacing w:val="-5"/>
          <w:sz w:val="24"/>
          <w14:textFill>
            <w14:solidFill>
              <w14:schemeClr w14:val="tx1"/>
            </w14:solidFill>
          </w14:textFill>
        </w:rPr>
        <w:sectPr>
          <w:footerReference r:id="rId3" w:type="default"/>
          <w:pgSz w:w="11906" w:h="16838"/>
          <w:pgMar w:top="1440" w:right="1800" w:bottom="1440" w:left="1800" w:header="851" w:footer="992" w:gutter="0"/>
          <w:cols w:space="425" w:num="1"/>
          <w:docGrid w:type="lines" w:linePitch="312" w:charSpace="0"/>
        </w:sectPr>
      </w:pPr>
      <w:r>
        <w:rPr>
          <w:rFonts w:ascii="Times New Roman" w:hAnsi="Times New Roman" w:eastAsia="宋体" w:cs="Times New Roman"/>
          <w:color w:val="000000" w:themeColor="text1"/>
          <w:spacing w:val="-5"/>
          <w:sz w:val="24"/>
          <w14:textFill>
            <w14:solidFill>
              <w14:schemeClr w14:val="tx1"/>
            </w14:solidFill>
          </w14:textFill>
        </w:rPr>
        <w:t>本课程教学内容共9章4个情境7个实验项目。理论课教学环境主要是智慧教室，实验项目主要在实验室环境中进行。智慧教室装有分小组式电脑设备、跟拍摄像机、录像设备等，实验教学环境为学生提供计算机网络教学平台。教学内容可根据能力分解表来组织和实施如下表所示</w:t>
      </w:r>
      <w:r>
        <w:rPr>
          <w:rFonts w:hint="eastAsia" w:ascii="Times New Roman" w:hAnsi="Times New Roman" w:eastAsia="宋体" w:cs="Times New Roman"/>
          <w:color w:val="000000" w:themeColor="text1"/>
          <w:spacing w:val="-5"/>
          <w:sz w:val="24"/>
          <w14:textFill>
            <w14:solidFill>
              <w14:schemeClr w14:val="tx1"/>
            </w14:solidFill>
          </w14:textFill>
        </w:rPr>
        <w:t>：</w:t>
      </w:r>
    </w:p>
    <w:p/>
    <w:p>
      <w:pPr>
        <w:spacing w:line="300" w:lineRule="auto"/>
        <w:jc w:val="center"/>
        <w:rPr>
          <w:rFonts w:ascii="Times New Roman" w:hAnsi="Times New Roman" w:eastAsia="宋体" w:cs="Times New Roman"/>
          <w:color w:val="000000" w:themeColor="text1"/>
          <w:sz w:val="24"/>
          <w14:textFill>
            <w14:solidFill>
              <w14:schemeClr w14:val="tx1"/>
            </w14:solidFill>
          </w14:textFill>
        </w:rPr>
      </w:pPr>
      <w:r>
        <w:rPr>
          <w:rFonts w:ascii="黑体" w:hAnsi="黑体" w:eastAsia="黑体" w:cs="Times New Roman"/>
          <w:color w:val="000000" w:themeColor="text1"/>
          <w:sz w:val="24"/>
          <w14:textFill>
            <w14:solidFill>
              <w14:schemeClr w14:val="tx1"/>
            </w14:solidFill>
          </w14:textFill>
        </w:rPr>
        <w:t>表3-1</w:t>
      </w:r>
      <w:r>
        <w:rPr>
          <w:rFonts w:ascii="Times New Roman" w:hAnsi="Times New Roman" w:eastAsia="宋体" w:cs="Times New Roman"/>
          <w:color w:val="000000" w:themeColor="text1"/>
          <w:sz w:val="24"/>
          <w14:textFill>
            <w14:solidFill>
              <w14:schemeClr w14:val="tx1"/>
            </w14:solidFill>
          </w14:textFill>
        </w:rPr>
        <w:t xml:space="preserve"> 课程教学内容及活动设计</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28" w:type="dxa"/>
          <w:left w:w="28" w:type="dxa"/>
          <w:bottom w:w="28" w:type="dxa"/>
          <w:right w:w="28" w:type="dxa"/>
        </w:tblCellMar>
      </w:tblPr>
      <w:tblGrid>
        <w:gridCol w:w="476"/>
        <w:gridCol w:w="890"/>
        <w:gridCol w:w="3544"/>
        <w:gridCol w:w="5103"/>
        <w:gridCol w:w="386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28" w:type="dxa"/>
            <w:bottom w:w="28" w:type="dxa"/>
            <w:right w:w="28" w:type="dxa"/>
          </w:tblCellMar>
        </w:tblPrEx>
        <w:trPr>
          <w:trHeight w:val="20" w:hRule="atLeast"/>
          <w:tblHeader/>
          <w:jc w:val="center"/>
        </w:trPr>
        <w:tc>
          <w:tcPr>
            <w:tcW w:w="0" w:type="auto"/>
            <w:tcMar>
              <w:top w:w="57" w:type="dxa"/>
              <w:bottom w:w="57" w:type="dxa"/>
            </w:tcMar>
            <w:vAlign w:val="center"/>
          </w:tcPr>
          <w:p>
            <w:pPr>
              <w:adjustRightInd w:val="0"/>
              <w:snapToGrid w:val="0"/>
              <w:spacing w:line="288" w:lineRule="auto"/>
              <w:jc w:val="center"/>
              <w:rPr>
                <w:rFonts w:ascii="Times New Roman" w:hAnsi="Times New Roman" w:eastAsia="宋体" w:cs="Times New Roman"/>
                <w:bCs/>
                <w:snapToGrid w:val="0"/>
                <w:szCs w:val="21"/>
              </w:rPr>
            </w:pPr>
            <w:r>
              <w:rPr>
                <w:rFonts w:ascii="Times New Roman" w:hAnsi="Times New Roman" w:eastAsia="宋体" w:cs="Times New Roman"/>
                <w:bCs/>
                <w:snapToGrid w:val="0"/>
                <w:szCs w:val="21"/>
              </w:rPr>
              <w:t>序号</w:t>
            </w:r>
          </w:p>
        </w:tc>
        <w:tc>
          <w:tcPr>
            <w:tcW w:w="890" w:type="dxa"/>
            <w:vAlign w:val="center"/>
          </w:tcPr>
          <w:p>
            <w:pPr>
              <w:adjustRightInd w:val="0"/>
              <w:snapToGrid w:val="0"/>
              <w:spacing w:line="288" w:lineRule="auto"/>
              <w:jc w:val="center"/>
              <w:rPr>
                <w:rFonts w:ascii="Times New Roman" w:hAnsi="Times New Roman" w:eastAsia="宋体" w:cs="Times New Roman"/>
                <w:bCs/>
                <w:snapToGrid w:val="0"/>
                <w:szCs w:val="21"/>
              </w:rPr>
            </w:pPr>
            <w:r>
              <w:rPr>
                <w:rFonts w:ascii="Times New Roman" w:hAnsi="Times New Roman" w:eastAsia="宋体" w:cs="Times New Roman"/>
                <w:bCs/>
                <w:snapToGrid w:val="0"/>
                <w:szCs w:val="21"/>
              </w:rPr>
              <w:t>章节</w:t>
            </w:r>
          </w:p>
        </w:tc>
        <w:tc>
          <w:tcPr>
            <w:tcW w:w="3544" w:type="dxa"/>
            <w:tcMar>
              <w:top w:w="57" w:type="dxa"/>
              <w:bottom w:w="57" w:type="dxa"/>
            </w:tcMar>
            <w:vAlign w:val="center"/>
          </w:tcPr>
          <w:p>
            <w:pPr>
              <w:adjustRightInd w:val="0"/>
              <w:snapToGrid w:val="0"/>
              <w:spacing w:line="288" w:lineRule="auto"/>
              <w:jc w:val="center"/>
              <w:rPr>
                <w:rFonts w:ascii="Times New Roman" w:hAnsi="Times New Roman" w:eastAsia="宋体" w:cs="Times New Roman"/>
                <w:bCs/>
                <w:snapToGrid w:val="0"/>
                <w:szCs w:val="21"/>
              </w:rPr>
            </w:pPr>
            <w:r>
              <w:rPr>
                <w:rFonts w:ascii="Times New Roman" w:hAnsi="Times New Roman" w:eastAsia="宋体" w:cs="Times New Roman"/>
                <w:bCs/>
                <w:snapToGrid w:val="0"/>
                <w:szCs w:val="21"/>
              </w:rPr>
              <w:t>教学内容</w:t>
            </w:r>
          </w:p>
        </w:tc>
        <w:tc>
          <w:tcPr>
            <w:tcW w:w="5103" w:type="dxa"/>
            <w:tcMar>
              <w:top w:w="57" w:type="dxa"/>
              <w:bottom w:w="57" w:type="dxa"/>
            </w:tcMar>
            <w:vAlign w:val="center"/>
          </w:tcPr>
          <w:p>
            <w:pPr>
              <w:adjustRightInd w:val="0"/>
              <w:snapToGrid w:val="0"/>
              <w:spacing w:line="288" w:lineRule="auto"/>
              <w:jc w:val="center"/>
              <w:rPr>
                <w:rFonts w:ascii="Times New Roman" w:hAnsi="Times New Roman" w:eastAsia="宋体" w:cs="Times New Roman"/>
                <w:bCs/>
                <w:snapToGrid w:val="0"/>
                <w:szCs w:val="21"/>
              </w:rPr>
            </w:pPr>
            <w:r>
              <w:rPr>
                <w:rFonts w:ascii="Times New Roman" w:hAnsi="Times New Roman" w:eastAsia="宋体" w:cs="Times New Roman"/>
                <w:bCs/>
                <w:snapToGrid w:val="0"/>
                <w:szCs w:val="21"/>
              </w:rPr>
              <w:t>教学要求</w:t>
            </w:r>
          </w:p>
          <w:p>
            <w:pPr>
              <w:adjustRightInd w:val="0"/>
              <w:snapToGrid w:val="0"/>
              <w:spacing w:line="288" w:lineRule="auto"/>
              <w:jc w:val="center"/>
              <w:rPr>
                <w:rFonts w:ascii="Times New Roman" w:hAnsi="Times New Roman" w:eastAsia="宋体" w:cs="Times New Roman"/>
                <w:bCs/>
                <w:szCs w:val="21"/>
              </w:rPr>
            </w:pPr>
            <w:r>
              <w:rPr>
                <w:rFonts w:ascii="Times New Roman" w:hAnsi="Times New Roman" w:eastAsia="宋体" w:cs="Times New Roman"/>
                <w:bCs/>
                <w:snapToGrid w:val="0"/>
                <w:szCs w:val="21"/>
              </w:rPr>
              <w:t>（教学重难点、方法）</w:t>
            </w:r>
          </w:p>
        </w:tc>
        <w:tc>
          <w:tcPr>
            <w:tcW w:w="3864" w:type="dxa"/>
            <w:tcMar>
              <w:top w:w="57" w:type="dxa"/>
              <w:bottom w:w="57" w:type="dxa"/>
            </w:tcMar>
            <w:vAlign w:val="center"/>
          </w:tcPr>
          <w:p>
            <w:pPr>
              <w:adjustRightInd w:val="0"/>
              <w:snapToGrid w:val="0"/>
              <w:spacing w:line="288" w:lineRule="auto"/>
              <w:jc w:val="center"/>
              <w:rPr>
                <w:rFonts w:ascii="Times New Roman" w:hAnsi="Times New Roman" w:eastAsia="宋体" w:cs="Times New Roman"/>
                <w:bCs/>
                <w:snapToGrid w:val="0"/>
                <w:szCs w:val="21"/>
              </w:rPr>
            </w:pPr>
            <w:r>
              <w:rPr>
                <w:rFonts w:ascii="Times New Roman" w:hAnsi="Times New Roman" w:eastAsia="宋体" w:cs="Times New Roman"/>
                <w:bCs/>
                <w:snapToGrid w:val="0"/>
                <w:szCs w:val="21"/>
              </w:rPr>
              <w:t>教学活动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28" w:type="dxa"/>
            <w:bottom w:w="28" w:type="dxa"/>
            <w:right w:w="28" w:type="dxa"/>
          </w:tblCellMar>
        </w:tblPrEx>
        <w:trPr>
          <w:trHeight w:val="20" w:hRule="atLeast"/>
          <w:jc w:val="center"/>
        </w:trPr>
        <w:tc>
          <w:tcPr>
            <w:tcW w:w="0" w:type="auto"/>
            <w:tcMar>
              <w:top w:w="57" w:type="dxa"/>
              <w:bottom w:w="57" w:type="dxa"/>
            </w:tcMar>
            <w:vAlign w:val="center"/>
          </w:tcPr>
          <w:p>
            <w:pPr>
              <w:spacing w:line="288" w:lineRule="auto"/>
              <w:jc w:val="center"/>
              <w:rPr>
                <w:rFonts w:ascii="Times New Roman" w:hAnsi="Times New Roman" w:eastAsia="宋体" w:cs="Times New Roman"/>
                <w:bCs/>
                <w:snapToGrid w:val="0"/>
                <w:szCs w:val="21"/>
              </w:rPr>
            </w:pPr>
            <w:r>
              <w:rPr>
                <w:rFonts w:ascii="Times New Roman" w:hAnsi="Times New Roman" w:eastAsia="宋体" w:cs="Times New Roman"/>
                <w:bCs/>
                <w:snapToGrid w:val="0"/>
                <w:szCs w:val="21"/>
              </w:rPr>
              <w:t>1</w:t>
            </w:r>
          </w:p>
        </w:tc>
        <w:tc>
          <w:tcPr>
            <w:tcW w:w="890" w:type="dxa"/>
            <w:vAlign w:val="center"/>
          </w:tcPr>
          <w:p>
            <w:pPr>
              <w:pStyle w:val="6"/>
              <w:spacing w:line="288" w:lineRule="auto"/>
              <w:ind w:firstLine="0" w:firstLineChars="0"/>
              <w:jc w:val="center"/>
              <w:rPr>
                <w:bCs/>
                <w:sz w:val="21"/>
                <w:szCs w:val="21"/>
              </w:rPr>
            </w:pPr>
            <w:r>
              <w:rPr>
                <w:bCs/>
                <w:sz w:val="21"/>
                <w:szCs w:val="21"/>
              </w:rPr>
              <w:t>第一章</w:t>
            </w:r>
          </w:p>
          <w:p>
            <w:pPr>
              <w:pStyle w:val="6"/>
              <w:spacing w:line="288" w:lineRule="auto"/>
              <w:ind w:firstLine="0" w:firstLineChars="0"/>
              <w:jc w:val="center"/>
              <w:rPr>
                <w:bCs/>
                <w:sz w:val="21"/>
                <w:szCs w:val="21"/>
              </w:rPr>
            </w:pPr>
            <w:r>
              <w:rPr>
                <w:bCs/>
                <w:sz w:val="21"/>
                <w:szCs w:val="21"/>
              </w:rPr>
              <w:t>国际贸易术语与惯例</w:t>
            </w:r>
          </w:p>
          <w:p>
            <w:pPr>
              <w:pStyle w:val="6"/>
              <w:spacing w:line="288" w:lineRule="auto"/>
              <w:ind w:firstLine="0" w:firstLineChars="0"/>
              <w:rPr>
                <w:bCs/>
                <w:sz w:val="21"/>
                <w:szCs w:val="21"/>
              </w:rPr>
            </w:pPr>
          </w:p>
        </w:tc>
        <w:tc>
          <w:tcPr>
            <w:tcW w:w="3544" w:type="dxa"/>
            <w:tcMar>
              <w:top w:w="57" w:type="dxa"/>
              <w:bottom w:w="57" w:type="dxa"/>
            </w:tcMar>
            <w:vAlign w:val="center"/>
          </w:tcPr>
          <w:p>
            <w:pPr>
              <w:spacing w:line="288" w:lineRule="auto"/>
              <w:rPr>
                <w:rFonts w:ascii="Times New Roman" w:hAnsi="Times New Roman" w:eastAsia="宋体" w:cs="Times New Roman"/>
                <w:bCs/>
                <w:snapToGrid w:val="0"/>
                <w:szCs w:val="21"/>
              </w:rPr>
            </w:pPr>
            <w:r>
              <w:rPr>
                <w:rFonts w:ascii="Times New Roman" w:hAnsi="Times New Roman" w:eastAsia="宋体" w:cs="Times New Roman"/>
                <w:bCs/>
                <w:snapToGrid w:val="0"/>
                <w:szCs w:val="21"/>
              </w:rPr>
              <w:t>1、课程介绍、学情分析</w:t>
            </w:r>
          </w:p>
          <w:p>
            <w:pPr>
              <w:spacing w:line="288" w:lineRule="auto"/>
              <w:rPr>
                <w:rFonts w:ascii="Times New Roman" w:hAnsi="Times New Roman" w:eastAsia="宋体" w:cs="Times New Roman"/>
                <w:bCs/>
                <w:snapToGrid w:val="0"/>
                <w:szCs w:val="21"/>
              </w:rPr>
            </w:pPr>
            <w:r>
              <w:rPr>
                <w:rFonts w:ascii="Times New Roman" w:hAnsi="Times New Roman" w:eastAsia="宋体" w:cs="Times New Roman"/>
                <w:bCs/>
                <w:snapToGrid w:val="0"/>
                <w:szCs w:val="21"/>
              </w:rPr>
              <w:t>2、国际贸易术语与惯例概念解读</w:t>
            </w:r>
          </w:p>
          <w:p>
            <w:pPr>
              <w:spacing w:line="288" w:lineRule="auto"/>
              <w:rPr>
                <w:rFonts w:ascii="Times New Roman" w:hAnsi="Times New Roman" w:eastAsia="宋体" w:cs="Times New Roman"/>
                <w:bCs/>
                <w:snapToGrid w:val="0"/>
                <w:szCs w:val="21"/>
              </w:rPr>
            </w:pPr>
            <w:r>
              <w:rPr>
                <w:rFonts w:ascii="Times New Roman" w:hAnsi="Times New Roman" w:eastAsia="宋体" w:cs="Times New Roman"/>
                <w:bCs/>
                <w:snapToGrid w:val="0"/>
                <w:szCs w:val="21"/>
              </w:rPr>
              <w:t>3、装运港交货的三种贸易术语</w:t>
            </w:r>
          </w:p>
          <w:p>
            <w:pPr>
              <w:spacing w:line="288" w:lineRule="auto"/>
              <w:rPr>
                <w:rFonts w:ascii="Times New Roman" w:hAnsi="Times New Roman" w:eastAsia="宋体" w:cs="Times New Roman"/>
                <w:bCs/>
                <w:snapToGrid w:val="0"/>
                <w:szCs w:val="21"/>
              </w:rPr>
            </w:pPr>
            <w:r>
              <w:rPr>
                <w:rFonts w:ascii="Times New Roman" w:hAnsi="Times New Roman" w:eastAsia="宋体" w:cs="Times New Roman"/>
                <w:bCs/>
                <w:snapToGrid w:val="0"/>
                <w:szCs w:val="21"/>
              </w:rPr>
              <w:t>4、向承运人交货术语</w:t>
            </w:r>
          </w:p>
          <w:p>
            <w:pPr>
              <w:spacing w:line="288" w:lineRule="auto"/>
              <w:rPr>
                <w:rFonts w:ascii="Times New Roman" w:hAnsi="Times New Roman" w:eastAsia="宋体" w:cs="Times New Roman"/>
                <w:bCs/>
                <w:snapToGrid w:val="0"/>
                <w:szCs w:val="21"/>
              </w:rPr>
            </w:pPr>
            <w:r>
              <w:rPr>
                <w:rFonts w:ascii="Times New Roman" w:hAnsi="Times New Roman" w:eastAsia="宋体" w:cs="Times New Roman"/>
                <w:bCs/>
                <w:snapToGrid w:val="0"/>
                <w:szCs w:val="21"/>
              </w:rPr>
              <w:t>5、出口国交货术语</w:t>
            </w:r>
          </w:p>
          <w:p>
            <w:pPr>
              <w:spacing w:line="288" w:lineRule="auto"/>
              <w:rPr>
                <w:rFonts w:ascii="Times New Roman" w:hAnsi="Times New Roman" w:eastAsia="宋体" w:cs="Times New Roman"/>
                <w:bCs/>
                <w:snapToGrid w:val="0"/>
                <w:szCs w:val="21"/>
              </w:rPr>
            </w:pPr>
            <w:r>
              <w:rPr>
                <w:rFonts w:ascii="Times New Roman" w:hAnsi="Times New Roman" w:eastAsia="宋体" w:cs="Times New Roman"/>
                <w:bCs/>
                <w:snapToGrid w:val="0"/>
                <w:szCs w:val="21"/>
              </w:rPr>
              <w:t>6、目的地交货术语</w:t>
            </w:r>
          </w:p>
          <w:p>
            <w:pPr>
              <w:spacing w:line="288" w:lineRule="auto"/>
              <w:rPr>
                <w:rFonts w:ascii="Times New Roman" w:hAnsi="Times New Roman" w:eastAsia="宋体" w:cs="Times New Roman"/>
                <w:bCs/>
                <w:snapToGrid w:val="0"/>
                <w:szCs w:val="21"/>
              </w:rPr>
            </w:pPr>
          </w:p>
        </w:tc>
        <w:tc>
          <w:tcPr>
            <w:tcW w:w="5103" w:type="dxa"/>
            <w:tcMar>
              <w:top w:w="57" w:type="dxa"/>
              <w:bottom w:w="57" w:type="dxa"/>
            </w:tcMar>
            <w:vAlign w:val="center"/>
          </w:tcPr>
          <w:p>
            <w:pPr>
              <w:spacing w:line="288" w:lineRule="auto"/>
              <w:rPr>
                <w:rFonts w:ascii="Times New Roman" w:hAnsi="Times New Roman" w:eastAsia="宋体" w:cs="Times New Roman"/>
                <w:bCs/>
                <w:snapToGrid w:val="0"/>
                <w:szCs w:val="21"/>
              </w:rPr>
            </w:pPr>
            <w:r>
              <w:rPr>
                <w:rFonts w:ascii="Times New Roman" w:hAnsi="Times New Roman" w:eastAsia="宋体" w:cs="Times New Roman"/>
                <w:bCs/>
                <w:snapToGrid w:val="0"/>
                <w:szCs w:val="21"/>
              </w:rPr>
              <w:t>1、教学重点</w:t>
            </w:r>
          </w:p>
          <w:p>
            <w:pPr>
              <w:pStyle w:val="6"/>
              <w:spacing w:line="288" w:lineRule="auto"/>
              <w:ind w:firstLine="0" w:firstLineChars="0"/>
              <w:rPr>
                <w:bCs/>
                <w:sz w:val="21"/>
                <w:szCs w:val="21"/>
              </w:rPr>
            </w:pPr>
            <w:r>
              <w:rPr>
                <w:rFonts w:hint="eastAsia" w:ascii="宋体" w:hAnsi="宋体" w:cs="宋体"/>
                <w:bCs/>
                <w:sz w:val="21"/>
                <w:szCs w:val="21"/>
              </w:rPr>
              <w:t>①</w:t>
            </w:r>
            <w:r>
              <w:rPr>
                <w:bCs/>
                <w:sz w:val="21"/>
                <w:szCs w:val="21"/>
              </w:rPr>
              <w:t>明确课程任务、地位与作用；</w:t>
            </w:r>
          </w:p>
          <w:p>
            <w:pPr>
              <w:pStyle w:val="6"/>
              <w:spacing w:line="288" w:lineRule="auto"/>
              <w:ind w:firstLine="0" w:firstLineChars="0"/>
              <w:rPr>
                <w:bCs/>
                <w:sz w:val="21"/>
                <w:szCs w:val="21"/>
              </w:rPr>
            </w:pPr>
            <w:r>
              <w:rPr>
                <w:rFonts w:hint="eastAsia" w:ascii="宋体" w:hAnsi="宋体" w:cs="宋体"/>
                <w:bCs/>
                <w:sz w:val="21"/>
                <w:szCs w:val="21"/>
              </w:rPr>
              <w:t>②</w:t>
            </w:r>
            <w:r>
              <w:rPr>
                <w:bCs/>
                <w:sz w:val="21"/>
                <w:szCs w:val="21"/>
              </w:rPr>
              <w:t>了解有关贸易术语的国际惯例；</w:t>
            </w:r>
          </w:p>
          <w:p>
            <w:pPr>
              <w:pStyle w:val="6"/>
              <w:spacing w:line="288" w:lineRule="auto"/>
              <w:ind w:firstLine="0" w:firstLineChars="0"/>
              <w:rPr>
                <w:bCs/>
                <w:sz w:val="21"/>
                <w:szCs w:val="21"/>
              </w:rPr>
            </w:pPr>
            <w:r>
              <w:rPr>
                <w:rFonts w:hint="eastAsia" w:ascii="宋体" w:hAnsi="宋体" w:cs="宋体"/>
                <w:bCs/>
                <w:sz w:val="21"/>
                <w:szCs w:val="21"/>
              </w:rPr>
              <w:t>③</w:t>
            </w:r>
            <w:r>
              <w:rPr>
                <w:bCs/>
                <w:sz w:val="21"/>
                <w:szCs w:val="21"/>
              </w:rPr>
              <w:t>明确惯例与法律的关系；</w:t>
            </w:r>
          </w:p>
          <w:p>
            <w:pPr>
              <w:pStyle w:val="6"/>
              <w:spacing w:line="288" w:lineRule="auto"/>
              <w:ind w:firstLine="0" w:firstLineChars="0"/>
              <w:rPr>
                <w:bCs/>
                <w:sz w:val="21"/>
                <w:szCs w:val="21"/>
              </w:rPr>
            </w:pPr>
            <w:r>
              <w:rPr>
                <w:rFonts w:hint="eastAsia" w:ascii="宋体" w:hAnsi="宋体" w:cs="宋体"/>
                <w:bCs/>
                <w:sz w:val="21"/>
                <w:szCs w:val="21"/>
              </w:rPr>
              <w:t>④</w:t>
            </w:r>
            <w:r>
              <w:rPr>
                <w:bCs/>
                <w:sz w:val="21"/>
                <w:szCs w:val="21"/>
              </w:rPr>
              <w:t>区分《通则2000》、《通则2010》和《通则2020》；</w:t>
            </w:r>
          </w:p>
          <w:p>
            <w:pPr>
              <w:pStyle w:val="6"/>
              <w:spacing w:line="288" w:lineRule="auto"/>
              <w:ind w:firstLine="0" w:firstLineChars="0"/>
              <w:rPr>
                <w:bCs/>
                <w:sz w:val="21"/>
                <w:szCs w:val="21"/>
              </w:rPr>
            </w:pPr>
            <w:r>
              <w:rPr>
                <w:rFonts w:hint="eastAsia" w:ascii="宋体" w:hAnsi="宋体" w:cs="宋体"/>
                <w:bCs/>
                <w:sz w:val="21"/>
                <w:szCs w:val="21"/>
              </w:rPr>
              <w:t>⑤</w:t>
            </w:r>
            <w:r>
              <w:rPr>
                <w:bCs/>
                <w:sz w:val="21"/>
                <w:szCs w:val="21"/>
              </w:rPr>
              <w:t>掌握贸易术语的含义及作用。</w:t>
            </w:r>
          </w:p>
          <w:p>
            <w:pPr>
              <w:spacing w:line="288" w:lineRule="auto"/>
              <w:rPr>
                <w:rFonts w:ascii="Times New Roman" w:hAnsi="Times New Roman" w:eastAsia="宋体" w:cs="Times New Roman"/>
                <w:bCs/>
                <w:snapToGrid w:val="0"/>
                <w:szCs w:val="21"/>
              </w:rPr>
            </w:pPr>
            <w:r>
              <w:rPr>
                <w:rFonts w:ascii="Times New Roman" w:hAnsi="Times New Roman" w:eastAsia="宋体" w:cs="Times New Roman"/>
                <w:bCs/>
                <w:snapToGrid w:val="0"/>
                <w:szCs w:val="21"/>
              </w:rPr>
              <w:t>2、教学难点</w:t>
            </w:r>
          </w:p>
          <w:p>
            <w:pPr>
              <w:pStyle w:val="6"/>
              <w:spacing w:line="288" w:lineRule="auto"/>
              <w:ind w:firstLine="0" w:firstLineChars="0"/>
              <w:rPr>
                <w:bCs/>
                <w:sz w:val="21"/>
                <w:szCs w:val="21"/>
              </w:rPr>
            </w:pPr>
            <w:r>
              <w:rPr>
                <w:rFonts w:hint="eastAsia" w:ascii="宋体" w:hAnsi="宋体" w:cs="宋体"/>
                <w:bCs/>
                <w:sz w:val="21"/>
                <w:szCs w:val="21"/>
              </w:rPr>
              <w:t>①</w:t>
            </w:r>
            <w:r>
              <w:rPr>
                <w:bCs/>
                <w:sz w:val="21"/>
                <w:szCs w:val="21"/>
              </w:rPr>
              <w:t>判断FOB\CFR\CIF以及FCA\CPT\CIP的异同点；</w:t>
            </w:r>
          </w:p>
          <w:p>
            <w:pPr>
              <w:pStyle w:val="6"/>
              <w:spacing w:line="288" w:lineRule="auto"/>
              <w:ind w:firstLine="0" w:firstLineChars="0"/>
              <w:rPr>
                <w:bCs/>
                <w:sz w:val="21"/>
                <w:szCs w:val="21"/>
              </w:rPr>
            </w:pPr>
            <w:r>
              <w:rPr>
                <w:rFonts w:hint="eastAsia" w:ascii="宋体" w:hAnsi="宋体" w:cs="宋体"/>
                <w:bCs/>
                <w:sz w:val="21"/>
                <w:szCs w:val="21"/>
              </w:rPr>
              <w:t>②</w:t>
            </w:r>
            <w:r>
              <w:rPr>
                <w:bCs/>
                <w:sz w:val="21"/>
                <w:szCs w:val="21"/>
              </w:rPr>
              <w:t>重点分析买卖双方的责任、风险与费用划分；</w:t>
            </w:r>
          </w:p>
          <w:p>
            <w:pPr>
              <w:pStyle w:val="6"/>
              <w:spacing w:line="288" w:lineRule="auto"/>
              <w:ind w:firstLine="0" w:firstLineChars="0"/>
              <w:rPr>
                <w:bCs/>
                <w:sz w:val="21"/>
                <w:szCs w:val="21"/>
              </w:rPr>
            </w:pPr>
            <w:r>
              <w:rPr>
                <w:rFonts w:hint="eastAsia" w:ascii="宋体" w:hAnsi="宋体" w:cs="宋体"/>
                <w:bCs/>
                <w:sz w:val="21"/>
                <w:szCs w:val="21"/>
              </w:rPr>
              <w:t>③</w:t>
            </w:r>
            <w:r>
              <w:rPr>
                <w:bCs/>
                <w:sz w:val="21"/>
                <w:szCs w:val="21"/>
              </w:rPr>
              <w:t>其他贸易术语定义解释；</w:t>
            </w:r>
          </w:p>
          <w:p>
            <w:pPr>
              <w:pStyle w:val="6"/>
              <w:spacing w:line="288" w:lineRule="auto"/>
              <w:ind w:firstLine="0" w:firstLineChars="0"/>
              <w:rPr>
                <w:bCs/>
                <w:sz w:val="21"/>
                <w:szCs w:val="21"/>
              </w:rPr>
            </w:pPr>
            <w:r>
              <w:rPr>
                <w:rFonts w:hint="eastAsia" w:ascii="宋体" w:hAnsi="宋体" w:cs="宋体"/>
                <w:bCs/>
                <w:sz w:val="21"/>
                <w:szCs w:val="21"/>
              </w:rPr>
              <w:t>④</w:t>
            </w:r>
            <w:r>
              <w:rPr>
                <w:bCs/>
                <w:sz w:val="21"/>
                <w:szCs w:val="21"/>
              </w:rPr>
              <w:t>选择贸易术语时应充分考虑的因素；</w:t>
            </w:r>
          </w:p>
          <w:p>
            <w:pPr>
              <w:pStyle w:val="6"/>
              <w:spacing w:line="288" w:lineRule="auto"/>
              <w:ind w:firstLine="0" w:firstLineChars="0"/>
              <w:rPr>
                <w:bCs/>
                <w:sz w:val="21"/>
                <w:szCs w:val="21"/>
              </w:rPr>
            </w:pPr>
            <w:r>
              <w:rPr>
                <w:rFonts w:hint="eastAsia" w:ascii="宋体" w:hAnsi="宋体" w:cs="宋体"/>
                <w:bCs/>
                <w:sz w:val="21"/>
                <w:szCs w:val="21"/>
              </w:rPr>
              <w:t>⑤</w:t>
            </w:r>
            <w:r>
              <w:rPr>
                <w:bCs/>
                <w:sz w:val="21"/>
                <w:szCs w:val="21"/>
              </w:rPr>
              <w:t>课程思政：忠实履约、船货衔接、职业操守、国际贸易地理人文素养等。</w:t>
            </w:r>
          </w:p>
          <w:p>
            <w:pPr>
              <w:spacing w:line="288" w:lineRule="auto"/>
              <w:rPr>
                <w:rFonts w:ascii="Times New Roman" w:hAnsi="Times New Roman" w:eastAsia="宋体" w:cs="Times New Roman"/>
                <w:bCs/>
                <w:snapToGrid w:val="0"/>
                <w:szCs w:val="21"/>
              </w:rPr>
            </w:pPr>
            <w:r>
              <w:rPr>
                <w:rFonts w:ascii="Times New Roman" w:hAnsi="Times New Roman" w:eastAsia="宋体" w:cs="Times New Roman"/>
                <w:bCs/>
                <w:snapToGrid w:val="0"/>
                <w:szCs w:val="21"/>
              </w:rPr>
              <w:t>3、教学方法：线上资源平台、</w:t>
            </w:r>
            <w:r>
              <w:rPr>
                <w:rFonts w:ascii="Times New Roman" w:hAnsi="Times New Roman" w:eastAsia="宋体" w:cs="Times New Roman"/>
                <w:bCs/>
                <w:color w:val="000000"/>
                <w:kern w:val="0"/>
                <w:szCs w:val="21"/>
              </w:rPr>
              <w:t>讲授、交流讨论、案例分析、多媒体演示、板书。</w:t>
            </w:r>
          </w:p>
        </w:tc>
        <w:tc>
          <w:tcPr>
            <w:tcW w:w="3864" w:type="dxa"/>
            <w:tcMar>
              <w:top w:w="57" w:type="dxa"/>
              <w:bottom w:w="57" w:type="dxa"/>
            </w:tcMar>
            <w:vAlign w:val="center"/>
          </w:tcPr>
          <w:p>
            <w:pPr>
              <w:pStyle w:val="48"/>
              <w:spacing w:line="288" w:lineRule="auto"/>
              <w:jc w:val="both"/>
              <w:rPr>
                <w:rFonts w:ascii="Times New Roman" w:eastAsia="宋体" w:cs="Times New Roman"/>
                <w:bCs/>
                <w:sz w:val="21"/>
                <w:szCs w:val="21"/>
              </w:rPr>
            </w:pPr>
            <w:r>
              <w:rPr>
                <w:rFonts w:ascii="Times New Roman" w:eastAsia="宋体" w:cs="Times New Roman"/>
                <w:bCs/>
                <w:sz w:val="21"/>
                <w:szCs w:val="21"/>
              </w:rPr>
              <w:t>1、教师任务</w:t>
            </w:r>
          </w:p>
          <w:p>
            <w:pPr>
              <w:pStyle w:val="48"/>
              <w:spacing w:line="288" w:lineRule="auto"/>
              <w:jc w:val="both"/>
              <w:rPr>
                <w:rFonts w:ascii="Times New Roman" w:eastAsia="宋体" w:cs="Times New Roman"/>
                <w:bCs/>
                <w:sz w:val="21"/>
                <w:szCs w:val="21"/>
              </w:rPr>
            </w:pPr>
            <w:r>
              <w:rPr>
                <w:rFonts w:hint="eastAsia" w:ascii="宋体" w:hAnsi="宋体" w:eastAsia="宋体" w:cs="宋体"/>
                <w:bCs/>
                <w:sz w:val="21"/>
                <w:szCs w:val="21"/>
              </w:rPr>
              <w:t>①</w:t>
            </w:r>
            <w:r>
              <w:rPr>
                <w:rFonts w:ascii="Times New Roman" w:eastAsia="宋体" w:cs="Times New Roman"/>
                <w:bCs/>
                <w:sz w:val="21"/>
                <w:szCs w:val="21"/>
              </w:rPr>
              <w:t>课前在学习平台发布视频和测试任务；</w:t>
            </w:r>
          </w:p>
          <w:p>
            <w:pPr>
              <w:pStyle w:val="48"/>
              <w:spacing w:line="288" w:lineRule="auto"/>
              <w:jc w:val="both"/>
              <w:rPr>
                <w:rFonts w:ascii="Times New Roman" w:eastAsia="宋体" w:cs="Times New Roman"/>
                <w:bCs/>
                <w:sz w:val="21"/>
                <w:szCs w:val="21"/>
              </w:rPr>
            </w:pPr>
            <w:r>
              <w:rPr>
                <w:rFonts w:hint="eastAsia" w:ascii="宋体" w:hAnsi="宋体" w:eastAsia="宋体" w:cs="宋体"/>
                <w:bCs/>
                <w:sz w:val="21"/>
                <w:szCs w:val="21"/>
              </w:rPr>
              <w:t>②</w:t>
            </w:r>
            <w:r>
              <w:rPr>
                <w:rFonts w:ascii="Times New Roman" w:eastAsia="宋体" w:cs="Times New Roman"/>
                <w:bCs/>
                <w:sz w:val="21"/>
                <w:szCs w:val="21"/>
              </w:rPr>
              <w:t>介绍本章节的知识目标、能力目标与价值目标；</w:t>
            </w:r>
          </w:p>
          <w:p>
            <w:pPr>
              <w:pStyle w:val="48"/>
              <w:spacing w:line="288" w:lineRule="auto"/>
              <w:jc w:val="both"/>
              <w:rPr>
                <w:rFonts w:ascii="Times New Roman" w:eastAsia="宋体" w:cs="Times New Roman"/>
                <w:bCs/>
                <w:sz w:val="21"/>
                <w:szCs w:val="21"/>
              </w:rPr>
            </w:pPr>
            <w:r>
              <w:rPr>
                <w:rFonts w:hint="eastAsia" w:ascii="宋体" w:hAnsi="宋体" w:eastAsia="宋体" w:cs="宋体"/>
                <w:bCs/>
                <w:sz w:val="21"/>
                <w:szCs w:val="21"/>
              </w:rPr>
              <w:t>③</w:t>
            </w:r>
            <w:r>
              <w:rPr>
                <w:rFonts w:ascii="Times New Roman" w:eastAsia="宋体" w:cs="Times New Roman"/>
                <w:bCs/>
                <w:sz w:val="21"/>
                <w:szCs w:val="21"/>
              </w:rPr>
              <w:t>课中讲解贸易术语相关知识；</w:t>
            </w:r>
          </w:p>
          <w:p>
            <w:pPr>
              <w:pStyle w:val="48"/>
              <w:spacing w:line="288" w:lineRule="auto"/>
              <w:jc w:val="both"/>
              <w:rPr>
                <w:rFonts w:ascii="Times New Roman" w:eastAsia="宋体" w:cs="Times New Roman"/>
                <w:bCs/>
                <w:sz w:val="21"/>
                <w:szCs w:val="21"/>
              </w:rPr>
            </w:pPr>
            <w:r>
              <w:rPr>
                <w:rFonts w:hint="eastAsia" w:ascii="宋体" w:hAnsi="宋体" w:eastAsia="宋体" w:cs="宋体"/>
                <w:bCs/>
                <w:sz w:val="21"/>
                <w:szCs w:val="21"/>
              </w:rPr>
              <w:t>④</w:t>
            </w:r>
            <w:r>
              <w:rPr>
                <w:rFonts w:ascii="Times New Roman" w:eastAsia="宋体" w:cs="Times New Roman"/>
                <w:bCs/>
                <w:sz w:val="21"/>
                <w:szCs w:val="21"/>
              </w:rPr>
              <w:t>以示意图形式分析各术语的责任、风险与费用划分；</w:t>
            </w:r>
          </w:p>
          <w:p>
            <w:pPr>
              <w:pStyle w:val="48"/>
              <w:spacing w:line="288" w:lineRule="auto"/>
              <w:jc w:val="both"/>
              <w:rPr>
                <w:rFonts w:ascii="Times New Roman" w:eastAsia="宋体" w:cs="Times New Roman"/>
                <w:bCs/>
                <w:sz w:val="21"/>
                <w:szCs w:val="21"/>
              </w:rPr>
            </w:pPr>
            <w:r>
              <w:rPr>
                <w:rFonts w:hint="eastAsia" w:ascii="宋体" w:hAnsi="宋体" w:eastAsia="宋体" w:cs="宋体"/>
                <w:bCs/>
                <w:sz w:val="21"/>
                <w:szCs w:val="21"/>
              </w:rPr>
              <w:t>⑤</w:t>
            </w:r>
            <w:r>
              <w:rPr>
                <w:rFonts w:ascii="Times New Roman" w:eastAsia="宋体" w:cs="Times New Roman"/>
                <w:bCs/>
                <w:sz w:val="21"/>
                <w:szCs w:val="21"/>
              </w:rPr>
              <w:t>以案例分析形式要求学生进行小组讨论并作详细分析；</w:t>
            </w:r>
          </w:p>
          <w:p>
            <w:pPr>
              <w:pStyle w:val="48"/>
              <w:spacing w:line="288" w:lineRule="auto"/>
              <w:jc w:val="both"/>
              <w:rPr>
                <w:rFonts w:ascii="Times New Roman" w:eastAsia="宋体" w:cs="Times New Roman"/>
                <w:bCs/>
                <w:sz w:val="21"/>
                <w:szCs w:val="21"/>
              </w:rPr>
            </w:pPr>
            <w:r>
              <w:rPr>
                <w:rFonts w:hint="eastAsia" w:ascii="宋体" w:hAnsi="宋体" w:eastAsia="宋体" w:cs="宋体"/>
                <w:bCs/>
                <w:sz w:val="21"/>
                <w:szCs w:val="21"/>
              </w:rPr>
              <w:t>⑥</w:t>
            </w:r>
            <w:r>
              <w:rPr>
                <w:rFonts w:ascii="Times New Roman" w:eastAsia="宋体" w:cs="Times New Roman"/>
                <w:bCs/>
                <w:sz w:val="21"/>
                <w:szCs w:val="21"/>
              </w:rPr>
              <w:t>发布下节课任务单，并反思。</w:t>
            </w:r>
          </w:p>
          <w:p>
            <w:pPr>
              <w:pStyle w:val="48"/>
              <w:spacing w:line="288" w:lineRule="auto"/>
              <w:jc w:val="both"/>
              <w:rPr>
                <w:rFonts w:ascii="Times New Roman" w:eastAsia="宋体" w:cs="Times New Roman"/>
                <w:bCs/>
                <w:sz w:val="21"/>
                <w:szCs w:val="21"/>
              </w:rPr>
            </w:pPr>
            <w:r>
              <w:rPr>
                <w:rFonts w:ascii="Times New Roman" w:eastAsia="宋体" w:cs="Times New Roman"/>
                <w:bCs/>
                <w:sz w:val="21"/>
                <w:szCs w:val="21"/>
              </w:rPr>
              <w:t>2、学生任务</w:t>
            </w:r>
          </w:p>
          <w:p>
            <w:pPr>
              <w:pStyle w:val="48"/>
              <w:spacing w:line="288" w:lineRule="auto"/>
              <w:jc w:val="both"/>
              <w:rPr>
                <w:rFonts w:ascii="Times New Roman" w:eastAsia="宋体" w:cs="Times New Roman"/>
                <w:bCs/>
                <w:sz w:val="21"/>
                <w:szCs w:val="21"/>
              </w:rPr>
            </w:pPr>
            <w:r>
              <w:rPr>
                <w:rFonts w:hint="eastAsia" w:ascii="宋体" w:hAnsi="宋体" w:eastAsia="宋体" w:cs="宋体"/>
                <w:bCs/>
                <w:sz w:val="21"/>
                <w:szCs w:val="21"/>
              </w:rPr>
              <w:t>①</w:t>
            </w:r>
            <w:r>
              <w:rPr>
                <w:rFonts w:ascii="Times New Roman" w:eastAsia="宋体" w:cs="Times New Roman"/>
                <w:bCs/>
                <w:sz w:val="21"/>
                <w:szCs w:val="21"/>
              </w:rPr>
              <w:t>课前观看FIF平台视频与课件；</w:t>
            </w:r>
          </w:p>
          <w:p>
            <w:pPr>
              <w:pStyle w:val="48"/>
              <w:spacing w:line="288" w:lineRule="auto"/>
              <w:jc w:val="both"/>
              <w:rPr>
                <w:rFonts w:ascii="Times New Roman" w:eastAsia="宋体" w:cs="Times New Roman"/>
                <w:bCs/>
                <w:sz w:val="21"/>
                <w:szCs w:val="21"/>
              </w:rPr>
            </w:pPr>
            <w:r>
              <w:rPr>
                <w:rFonts w:hint="eastAsia" w:ascii="宋体" w:hAnsi="宋体" w:eastAsia="宋体" w:cs="宋体"/>
                <w:bCs/>
                <w:sz w:val="21"/>
                <w:szCs w:val="21"/>
              </w:rPr>
              <w:t>②</w:t>
            </w:r>
            <w:r>
              <w:rPr>
                <w:rFonts w:ascii="Times New Roman" w:eastAsia="宋体" w:cs="Times New Roman"/>
                <w:bCs/>
                <w:sz w:val="21"/>
                <w:szCs w:val="21"/>
              </w:rPr>
              <w:t>完成在线测试；</w:t>
            </w:r>
          </w:p>
          <w:p>
            <w:pPr>
              <w:pStyle w:val="48"/>
              <w:spacing w:line="288" w:lineRule="auto"/>
              <w:jc w:val="both"/>
              <w:rPr>
                <w:rFonts w:ascii="Times New Roman" w:eastAsia="宋体" w:cs="Times New Roman"/>
                <w:bCs/>
                <w:sz w:val="21"/>
                <w:szCs w:val="21"/>
              </w:rPr>
            </w:pPr>
            <w:r>
              <w:rPr>
                <w:rFonts w:hint="eastAsia" w:ascii="宋体" w:hAnsi="宋体" w:eastAsia="宋体" w:cs="宋体"/>
                <w:bCs/>
                <w:sz w:val="21"/>
                <w:szCs w:val="21"/>
              </w:rPr>
              <w:t>③</w:t>
            </w:r>
            <w:r>
              <w:rPr>
                <w:rFonts w:ascii="Times New Roman" w:eastAsia="宋体" w:cs="Times New Roman"/>
                <w:bCs/>
                <w:sz w:val="21"/>
                <w:szCs w:val="21"/>
              </w:rPr>
              <w:t>MindMaster软件做思维导图总结第一章全部贸易术语内容；</w:t>
            </w:r>
          </w:p>
          <w:p>
            <w:pPr>
              <w:pStyle w:val="48"/>
              <w:spacing w:line="288" w:lineRule="auto"/>
              <w:jc w:val="both"/>
              <w:rPr>
                <w:rFonts w:ascii="Times New Roman" w:eastAsia="宋体" w:cs="Times New Roman"/>
                <w:bCs/>
                <w:sz w:val="21"/>
                <w:szCs w:val="21"/>
              </w:rPr>
            </w:pPr>
            <w:r>
              <w:rPr>
                <w:rFonts w:hint="eastAsia" w:ascii="宋体" w:hAnsi="宋体" w:eastAsia="宋体" w:cs="宋体"/>
                <w:bCs/>
                <w:sz w:val="21"/>
                <w:szCs w:val="21"/>
              </w:rPr>
              <w:t>④</w:t>
            </w:r>
            <w:r>
              <w:rPr>
                <w:rFonts w:ascii="Times New Roman" w:eastAsia="宋体" w:cs="Times New Roman"/>
                <w:bCs/>
                <w:sz w:val="21"/>
                <w:szCs w:val="21"/>
              </w:rPr>
              <w:t>阅读文献：国际贸易术语惯例的新发展及其应用策略_姚新超；</w:t>
            </w:r>
          </w:p>
          <w:p>
            <w:pPr>
              <w:pStyle w:val="48"/>
              <w:spacing w:line="288" w:lineRule="auto"/>
              <w:jc w:val="both"/>
              <w:rPr>
                <w:rFonts w:ascii="Times New Roman" w:eastAsia="宋体" w:cs="Times New Roman"/>
                <w:bCs/>
                <w:snapToGrid w:val="0"/>
                <w:color w:val="auto"/>
                <w:kern w:val="2"/>
                <w:sz w:val="21"/>
                <w:szCs w:val="21"/>
              </w:rPr>
            </w:pPr>
            <w:r>
              <w:rPr>
                <w:rFonts w:hint="eastAsia" w:ascii="宋体" w:hAnsi="宋体" w:eastAsia="宋体" w:cs="宋体"/>
                <w:bCs/>
                <w:sz w:val="21"/>
                <w:szCs w:val="21"/>
              </w:rPr>
              <w:t>⑤</w:t>
            </w:r>
            <w:r>
              <w:rPr>
                <w:rFonts w:ascii="Times New Roman" w:eastAsia="宋体" w:cs="Times New Roman"/>
                <w:bCs/>
                <w:sz w:val="21"/>
                <w:szCs w:val="21"/>
              </w:rPr>
              <w:t>做好学习笔记。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28" w:type="dxa"/>
            <w:bottom w:w="28" w:type="dxa"/>
            <w:right w:w="28" w:type="dxa"/>
          </w:tblCellMar>
        </w:tblPrEx>
        <w:trPr>
          <w:trHeight w:val="20" w:hRule="atLeast"/>
          <w:jc w:val="center"/>
        </w:trPr>
        <w:tc>
          <w:tcPr>
            <w:tcW w:w="0" w:type="auto"/>
            <w:tcMar>
              <w:top w:w="57" w:type="dxa"/>
              <w:bottom w:w="57" w:type="dxa"/>
            </w:tcMar>
            <w:vAlign w:val="center"/>
          </w:tcPr>
          <w:p>
            <w:pPr>
              <w:spacing w:line="288" w:lineRule="auto"/>
              <w:jc w:val="center"/>
              <w:rPr>
                <w:rFonts w:ascii="Times New Roman" w:hAnsi="Times New Roman" w:eastAsia="宋体" w:cs="Times New Roman"/>
                <w:bCs/>
                <w:snapToGrid w:val="0"/>
                <w:szCs w:val="21"/>
              </w:rPr>
            </w:pPr>
            <w:r>
              <w:rPr>
                <w:rFonts w:ascii="Times New Roman" w:hAnsi="Times New Roman" w:eastAsia="宋体" w:cs="Times New Roman"/>
                <w:bCs/>
                <w:snapToGrid w:val="0"/>
                <w:szCs w:val="21"/>
              </w:rPr>
              <w:t>2</w:t>
            </w:r>
          </w:p>
        </w:tc>
        <w:tc>
          <w:tcPr>
            <w:tcW w:w="890" w:type="dxa"/>
            <w:vAlign w:val="center"/>
          </w:tcPr>
          <w:p>
            <w:pPr>
              <w:spacing w:line="288" w:lineRule="auto"/>
              <w:jc w:val="center"/>
              <w:rPr>
                <w:rFonts w:ascii="Times New Roman" w:hAnsi="Times New Roman" w:eastAsia="宋体" w:cs="Times New Roman"/>
                <w:bCs/>
                <w:snapToGrid w:val="0"/>
                <w:szCs w:val="21"/>
              </w:rPr>
            </w:pPr>
          </w:p>
          <w:p>
            <w:pPr>
              <w:spacing w:line="288" w:lineRule="auto"/>
              <w:jc w:val="center"/>
              <w:rPr>
                <w:rFonts w:ascii="Times New Roman" w:hAnsi="Times New Roman" w:eastAsia="宋体" w:cs="Times New Roman"/>
                <w:bCs/>
                <w:snapToGrid w:val="0"/>
                <w:szCs w:val="21"/>
              </w:rPr>
            </w:pPr>
          </w:p>
          <w:p>
            <w:pPr>
              <w:spacing w:line="288" w:lineRule="auto"/>
              <w:jc w:val="center"/>
              <w:rPr>
                <w:rFonts w:ascii="Times New Roman" w:hAnsi="Times New Roman" w:eastAsia="宋体" w:cs="Times New Roman"/>
                <w:bCs/>
                <w:snapToGrid w:val="0"/>
                <w:szCs w:val="21"/>
              </w:rPr>
            </w:pPr>
          </w:p>
          <w:p>
            <w:pPr>
              <w:spacing w:line="288" w:lineRule="auto"/>
              <w:jc w:val="center"/>
              <w:rPr>
                <w:rFonts w:ascii="Times New Roman" w:hAnsi="Times New Roman" w:eastAsia="宋体" w:cs="Times New Roman"/>
                <w:bCs/>
                <w:snapToGrid w:val="0"/>
                <w:szCs w:val="21"/>
              </w:rPr>
            </w:pPr>
          </w:p>
          <w:p>
            <w:pPr>
              <w:spacing w:line="288" w:lineRule="auto"/>
              <w:jc w:val="center"/>
              <w:rPr>
                <w:rFonts w:ascii="Times New Roman" w:hAnsi="Times New Roman" w:eastAsia="宋体" w:cs="Times New Roman"/>
                <w:bCs/>
                <w:snapToGrid w:val="0"/>
                <w:szCs w:val="21"/>
              </w:rPr>
            </w:pPr>
            <w:r>
              <w:rPr>
                <w:rFonts w:ascii="Times New Roman" w:hAnsi="Times New Roman" w:eastAsia="宋体" w:cs="Times New Roman"/>
                <w:bCs/>
                <w:snapToGrid w:val="0"/>
                <w:szCs w:val="21"/>
              </w:rPr>
              <w:t>第二章</w:t>
            </w:r>
          </w:p>
          <w:p>
            <w:pPr>
              <w:spacing w:line="288" w:lineRule="auto"/>
              <w:jc w:val="center"/>
              <w:rPr>
                <w:rFonts w:ascii="Times New Roman" w:hAnsi="Times New Roman" w:eastAsia="宋体" w:cs="Times New Roman"/>
                <w:bCs/>
                <w:snapToGrid w:val="0"/>
                <w:szCs w:val="21"/>
              </w:rPr>
            </w:pPr>
            <w:r>
              <w:rPr>
                <w:rFonts w:ascii="Times New Roman" w:hAnsi="Times New Roman" w:eastAsia="宋体" w:cs="Times New Roman"/>
                <w:bCs/>
                <w:snapToGrid w:val="0"/>
                <w:szCs w:val="21"/>
              </w:rPr>
              <w:t>商品品名、品质、数量与包装</w:t>
            </w:r>
          </w:p>
        </w:tc>
        <w:tc>
          <w:tcPr>
            <w:tcW w:w="3544" w:type="dxa"/>
            <w:tcMar>
              <w:top w:w="57" w:type="dxa"/>
              <w:bottom w:w="57" w:type="dxa"/>
            </w:tcMar>
            <w:vAlign w:val="center"/>
          </w:tcPr>
          <w:p>
            <w:pPr>
              <w:spacing w:line="288" w:lineRule="auto"/>
              <w:rPr>
                <w:rFonts w:ascii="Times New Roman" w:hAnsi="Times New Roman" w:eastAsia="宋体" w:cs="Times New Roman"/>
                <w:bCs/>
                <w:snapToGrid w:val="0"/>
                <w:szCs w:val="21"/>
              </w:rPr>
            </w:pPr>
            <w:r>
              <w:rPr>
                <w:rFonts w:ascii="Times New Roman" w:hAnsi="Times New Roman" w:eastAsia="宋体" w:cs="Times New Roman"/>
                <w:bCs/>
                <w:snapToGrid w:val="0"/>
                <w:szCs w:val="21"/>
              </w:rPr>
              <w:t>1、商品品名规定注意事项</w:t>
            </w:r>
          </w:p>
          <w:p>
            <w:pPr>
              <w:spacing w:line="288" w:lineRule="auto"/>
              <w:rPr>
                <w:rFonts w:ascii="Times New Roman" w:hAnsi="Times New Roman" w:eastAsia="宋体" w:cs="Times New Roman"/>
                <w:bCs/>
                <w:snapToGrid w:val="0"/>
                <w:szCs w:val="21"/>
              </w:rPr>
            </w:pPr>
            <w:r>
              <w:rPr>
                <w:rFonts w:ascii="Times New Roman" w:hAnsi="Times New Roman" w:eastAsia="宋体" w:cs="Times New Roman"/>
                <w:bCs/>
                <w:snapToGrid w:val="0"/>
                <w:szCs w:val="21"/>
              </w:rPr>
              <w:t>2、商品品质表示方法</w:t>
            </w:r>
          </w:p>
          <w:p>
            <w:pPr>
              <w:spacing w:line="288" w:lineRule="auto"/>
              <w:rPr>
                <w:rFonts w:ascii="Times New Roman" w:hAnsi="Times New Roman" w:eastAsia="宋体" w:cs="Times New Roman"/>
                <w:bCs/>
                <w:snapToGrid w:val="0"/>
                <w:szCs w:val="21"/>
              </w:rPr>
            </w:pPr>
            <w:r>
              <w:rPr>
                <w:rFonts w:ascii="Times New Roman" w:hAnsi="Times New Roman" w:eastAsia="宋体" w:cs="Times New Roman"/>
                <w:bCs/>
                <w:snapToGrid w:val="0"/>
                <w:szCs w:val="21"/>
              </w:rPr>
              <w:t>3、商品数量</w:t>
            </w:r>
          </w:p>
          <w:p>
            <w:pPr>
              <w:spacing w:line="288" w:lineRule="auto"/>
              <w:rPr>
                <w:rFonts w:ascii="Times New Roman" w:hAnsi="Times New Roman" w:eastAsia="宋体" w:cs="Times New Roman"/>
                <w:bCs/>
                <w:snapToGrid w:val="0"/>
                <w:szCs w:val="21"/>
              </w:rPr>
            </w:pPr>
            <w:r>
              <w:rPr>
                <w:rFonts w:ascii="Times New Roman" w:hAnsi="Times New Roman" w:eastAsia="宋体" w:cs="Times New Roman"/>
                <w:bCs/>
                <w:snapToGrid w:val="0"/>
                <w:szCs w:val="21"/>
              </w:rPr>
              <w:t>4、商品包装</w:t>
            </w:r>
          </w:p>
          <w:p>
            <w:pPr>
              <w:spacing w:line="288" w:lineRule="auto"/>
              <w:rPr>
                <w:rFonts w:ascii="Times New Roman" w:hAnsi="Times New Roman" w:eastAsia="宋体" w:cs="Times New Roman"/>
                <w:bCs/>
                <w:snapToGrid w:val="0"/>
                <w:szCs w:val="21"/>
              </w:rPr>
            </w:pPr>
          </w:p>
        </w:tc>
        <w:tc>
          <w:tcPr>
            <w:tcW w:w="5103" w:type="dxa"/>
            <w:tcMar>
              <w:top w:w="57" w:type="dxa"/>
              <w:bottom w:w="57" w:type="dxa"/>
            </w:tcMar>
            <w:vAlign w:val="center"/>
          </w:tcPr>
          <w:p>
            <w:pPr>
              <w:spacing w:line="288" w:lineRule="auto"/>
              <w:rPr>
                <w:rFonts w:ascii="Times New Roman" w:hAnsi="Times New Roman" w:eastAsia="宋体" w:cs="Times New Roman"/>
                <w:bCs/>
                <w:snapToGrid w:val="0"/>
                <w:szCs w:val="21"/>
              </w:rPr>
            </w:pPr>
            <w:r>
              <w:rPr>
                <w:rFonts w:ascii="Times New Roman" w:hAnsi="Times New Roman" w:eastAsia="宋体" w:cs="Times New Roman"/>
                <w:bCs/>
                <w:snapToGrid w:val="0"/>
                <w:szCs w:val="21"/>
              </w:rPr>
              <w:t>1、教学重点</w:t>
            </w:r>
          </w:p>
          <w:p>
            <w:pPr>
              <w:pStyle w:val="6"/>
              <w:spacing w:line="288" w:lineRule="auto"/>
              <w:ind w:firstLine="0" w:firstLineChars="0"/>
              <w:rPr>
                <w:bCs/>
                <w:sz w:val="21"/>
                <w:szCs w:val="21"/>
              </w:rPr>
            </w:pPr>
            <w:r>
              <w:rPr>
                <w:rFonts w:hint="eastAsia" w:ascii="宋体" w:hAnsi="宋体" w:cs="宋体"/>
                <w:bCs/>
                <w:sz w:val="21"/>
                <w:szCs w:val="21"/>
              </w:rPr>
              <w:t>①</w:t>
            </w:r>
            <w:r>
              <w:rPr>
                <w:bCs/>
                <w:sz w:val="21"/>
                <w:szCs w:val="21"/>
              </w:rPr>
              <w:t>了解品名条款规定时的注意事项；</w:t>
            </w:r>
          </w:p>
          <w:p>
            <w:pPr>
              <w:pStyle w:val="6"/>
              <w:spacing w:line="288" w:lineRule="auto"/>
              <w:ind w:firstLine="0" w:firstLineChars="0"/>
              <w:rPr>
                <w:bCs/>
                <w:sz w:val="21"/>
                <w:szCs w:val="21"/>
              </w:rPr>
            </w:pPr>
            <w:r>
              <w:rPr>
                <w:rFonts w:hint="eastAsia" w:ascii="宋体" w:hAnsi="宋体" w:cs="宋体"/>
                <w:bCs/>
                <w:sz w:val="21"/>
                <w:szCs w:val="21"/>
              </w:rPr>
              <w:t>②</w:t>
            </w:r>
            <w:r>
              <w:rPr>
                <w:bCs/>
                <w:sz w:val="21"/>
                <w:szCs w:val="21"/>
              </w:rPr>
              <w:t>明确品质条款、数量条款、包装条款的重要性；</w:t>
            </w:r>
          </w:p>
          <w:p>
            <w:pPr>
              <w:pStyle w:val="6"/>
              <w:spacing w:line="288" w:lineRule="auto"/>
              <w:ind w:firstLine="0" w:firstLineChars="0"/>
              <w:rPr>
                <w:bCs/>
                <w:sz w:val="21"/>
                <w:szCs w:val="21"/>
              </w:rPr>
            </w:pPr>
            <w:r>
              <w:rPr>
                <w:rFonts w:hint="eastAsia" w:ascii="宋体" w:hAnsi="宋体" w:cs="宋体"/>
                <w:bCs/>
                <w:sz w:val="21"/>
                <w:szCs w:val="21"/>
              </w:rPr>
              <w:t>③</w:t>
            </w:r>
            <w:r>
              <w:rPr>
                <w:bCs/>
                <w:sz w:val="21"/>
                <w:szCs w:val="21"/>
              </w:rPr>
              <w:t>界定商品品质的方法、计算重量的方法；</w:t>
            </w:r>
          </w:p>
          <w:p>
            <w:pPr>
              <w:pStyle w:val="6"/>
              <w:spacing w:line="288" w:lineRule="auto"/>
              <w:ind w:firstLine="0" w:firstLineChars="0"/>
              <w:rPr>
                <w:bCs/>
                <w:sz w:val="21"/>
                <w:szCs w:val="21"/>
              </w:rPr>
            </w:pPr>
            <w:r>
              <w:rPr>
                <w:rFonts w:hint="eastAsia" w:ascii="宋体" w:hAnsi="宋体" w:cs="宋体"/>
                <w:bCs/>
                <w:sz w:val="21"/>
                <w:szCs w:val="21"/>
              </w:rPr>
              <w:t>④</w:t>
            </w:r>
            <w:r>
              <w:rPr>
                <w:bCs/>
                <w:sz w:val="21"/>
                <w:szCs w:val="21"/>
              </w:rPr>
              <w:t>明晰国际贸易商品包装的种类；</w:t>
            </w:r>
          </w:p>
          <w:p>
            <w:pPr>
              <w:pStyle w:val="6"/>
              <w:spacing w:line="288" w:lineRule="auto"/>
              <w:ind w:firstLine="0" w:firstLineChars="0"/>
              <w:rPr>
                <w:bCs/>
                <w:sz w:val="21"/>
                <w:szCs w:val="21"/>
              </w:rPr>
            </w:pPr>
            <w:r>
              <w:rPr>
                <w:rFonts w:hint="eastAsia" w:ascii="宋体" w:hAnsi="宋体" w:cs="宋体"/>
                <w:bCs/>
                <w:sz w:val="21"/>
                <w:szCs w:val="21"/>
              </w:rPr>
              <w:t>⑤</w:t>
            </w:r>
            <w:r>
              <w:rPr>
                <w:bCs/>
                <w:sz w:val="21"/>
                <w:szCs w:val="21"/>
              </w:rPr>
              <w:t>掌握运输包装的标志，尤其是唛头的组成部分。</w:t>
            </w:r>
          </w:p>
          <w:p>
            <w:pPr>
              <w:spacing w:line="288" w:lineRule="auto"/>
              <w:rPr>
                <w:rFonts w:ascii="Times New Roman" w:hAnsi="Times New Roman" w:eastAsia="宋体" w:cs="Times New Roman"/>
                <w:bCs/>
                <w:snapToGrid w:val="0"/>
                <w:szCs w:val="21"/>
              </w:rPr>
            </w:pPr>
            <w:r>
              <w:rPr>
                <w:rFonts w:ascii="Times New Roman" w:hAnsi="Times New Roman" w:eastAsia="宋体" w:cs="Times New Roman"/>
                <w:bCs/>
                <w:snapToGrid w:val="0"/>
                <w:szCs w:val="21"/>
              </w:rPr>
              <w:t>2、教学难点</w:t>
            </w:r>
          </w:p>
          <w:p>
            <w:pPr>
              <w:pStyle w:val="6"/>
              <w:spacing w:line="288" w:lineRule="auto"/>
              <w:ind w:firstLine="0" w:firstLineChars="0"/>
              <w:rPr>
                <w:bCs/>
                <w:sz w:val="21"/>
                <w:szCs w:val="21"/>
              </w:rPr>
            </w:pPr>
            <w:r>
              <w:rPr>
                <w:rFonts w:hint="eastAsia" w:ascii="宋体" w:hAnsi="宋体" w:cs="宋体"/>
                <w:bCs/>
                <w:sz w:val="21"/>
                <w:szCs w:val="21"/>
              </w:rPr>
              <w:t>①</w:t>
            </w:r>
            <w:r>
              <w:rPr>
                <w:bCs/>
                <w:sz w:val="21"/>
                <w:szCs w:val="21"/>
              </w:rPr>
              <w:t>如何订立品质公差和品质机动幅度；</w:t>
            </w:r>
          </w:p>
          <w:p>
            <w:pPr>
              <w:pStyle w:val="6"/>
              <w:spacing w:line="288" w:lineRule="auto"/>
              <w:ind w:firstLine="0" w:firstLineChars="0"/>
              <w:rPr>
                <w:bCs/>
                <w:sz w:val="21"/>
                <w:szCs w:val="21"/>
              </w:rPr>
            </w:pPr>
            <w:r>
              <w:rPr>
                <w:rFonts w:hint="eastAsia" w:ascii="宋体" w:hAnsi="宋体" w:cs="宋体"/>
                <w:bCs/>
                <w:sz w:val="21"/>
                <w:szCs w:val="21"/>
              </w:rPr>
              <w:t>②</w:t>
            </w:r>
            <w:r>
              <w:rPr>
                <w:bCs/>
                <w:sz w:val="21"/>
                <w:szCs w:val="21"/>
              </w:rPr>
              <w:t>溢短装条款规定方法；</w:t>
            </w:r>
          </w:p>
          <w:p>
            <w:pPr>
              <w:pStyle w:val="6"/>
              <w:spacing w:line="288" w:lineRule="auto"/>
              <w:ind w:firstLine="0" w:firstLineChars="0"/>
              <w:rPr>
                <w:bCs/>
                <w:sz w:val="21"/>
                <w:szCs w:val="21"/>
              </w:rPr>
            </w:pPr>
            <w:r>
              <w:rPr>
                <w:rFonts w:hint="eastAsia" w:ascii="宋体" w:hAnsi="宋体" w:cs="宋体"/>
                <w:bCs/>
                <w:sz w:val="21"/>
                <w:szCs w:val="21"/>
              </w:rPr>
              <w:t>③</w:t>
            </w:r>
            <w:r>
              <w:rPr>
                <w:bCs/>
                <w:sz w:val="21"/>
                <w:szCs w:val="21"/>
              </w:rPr>
              <w:t>包装条款的主要内容；</w:t>
            </w:r>
          </w:p>
          <w:p>
            <w:pPr>
              <w:pStyle w:val="6"/>
              <w:spacing w:line="288" w:lineRule="auto"/>
              <w:ind w:firstLine="0" w:firstLineChars="0"/>
              <w:rPr>
                <w:bCs/>
                <w:sz w:val="21"/>
                <w:szCs w:val="21"/>
              </w:rPr>
            </w:pPr>
            <w:r>
              <w:rPr>
                <w:rFonts w:hint="eastAsia" w:ascii="宋体" w:hAnsi="宋体" w:cs="宋体"/>
                <w:bCs/>
                <w:sz w:val="21"/>
                <w:szCs w:val="21"/>
              </w:rPr>
              <w:t>④</w:t>
            </w:r>
            <w:r>
              <w:rPr>
                <w:bCs/>
                <w:sz w:val="21"/>
                <w:szCs w:val="21"/>
              </w:rPr>
              <w:t>中性包装的作用；</w:t>
            </w:r>
          </w:p>
          <w:p>
            <w:pPr>
              <w:pStyle w:val="6"/>
              <w:spacing w:line="288" w:lineRule="auto"/>
              <w:ind w:firstLine="0" w:firstLineChars="0"/>
              <w:rPr>
                <w:bCs/>
                <w:sz w:val="21"/>
                <w:szCs w:val="21"/>
              </w:rPr>
            </w:pPr>
            <w:r>
              <w:rPr>
                <w:rFonts w:hint="eastAsia" w:ascii="宋体" w:hAnsi="宋体" w:cs="宋体"/>
                <w:bCs/>
                <w:sz w:val="21"/>
                <w:szCs w:val="21"/>
              </w:rPr>
              <w:t>⑤</w:t>
            </w:r>
            <w:r>
              <w:rPr>
                <w:bCs/>
                <w:sz w:val="21"/>
                <w:szCs w:val="21"/>
              </w:rPr>
              <w:t>课程思政：中国制造与中国智造，如新冠疫情期间防疫物资等；包装中的中国元素、知识产权法律意识等。</w:t>
            </w:r>
          </w:p>
          <w:p>
            <w:pPr>
              <w:spacing w:line="288" w:lineRule="auto"/>
              <w:rPr>
                <w:rFonts w:ascii="Times New Roman" w:hAnsi="Times New Roman" w:eastAsia="宋体" w:cs="Times New Roman"/>
                <w:bCs/>
                <w:snapToGrid w:val="0"/>
                <w:szCs w:val="21"/>
              </w:rPr>
            </w:pPr>
            <w:r>
              <w:rPr>
                <w:rFonts w:ascii="Times New Roman" w:hAnsi="Times New Roman" w:eastAsia="宋体" w:cs="Times New Roman"/>
                <w:bCs/>
                <w:snapToGrid w:val="0"/>
                <w:szCs w:val="21"/>
              </w:rPr>
              <w:t>3、教学方法：线上资源平台、</w:t>
            </w:r>
            <w:r>
              <w:rPr>
                <w:rFonts w:ascii="Times New Roman" w:hAnsi="Times New Roman" w:eastAsia="宋体" w:cs="Times New Roman"/>
                <w:bCs/>
                <w:color w:val="000000"/>
                <w:kern w:val="0"/>
                <w:szCs w:val="21"/>
              </w:rPr>
              <w:t>讲授、交流讨论、案例分析、多媒体演示、板书。</w:t>
            </w:r>
          </w:p>
        </w:tc>
        <w:tc>
          <w:tcPr>
            <w:tcW w:w="3864" w:type="dxa"/>
            <w:tcMar>
              <w:top w:w="57" w:type="dxa"/>
              <w:bottom w:w="57" w:type="dxa"/>
            </w:tcMar>
            <w:vAlign w:val="center"/>
          </w:tcPr>
          <w:p>
            <w:pPr>
              <w:pStyle w:val="48"/>
              <w:spacing w:line="288" w:lineRule="auto"/>
              <w:jc w:val="both"/>
              <w:rPr>
                <w:rFonts w:ascii="Times New Roman" w:eastAsia="宋体" w:cs="Times New Roman"/>
                <w:bCs/>
                <w:sz w:val="21"/>
                <w:szCs w:val="21"/>
              </w:rPr>
            </w:pPr>
            <w:r>
              <w:rPr>
                <w:rFonts w:ascii="Times New Roman" w:eastAsia="宋体" w:cs="Times New Roman"/>
                <w:bCs/>
                <w:sz w:val="21"/>
                <w:szCs w:val="21"/>
              </w:rPr>
              <w:t>1、教师任务</w:t>
            </w:r>
          </w:p>
          <w:p>
            <w:pPr>
              <w:pStyle w:val="48"/>
              <w:spacing w:line="288" w:lineRule="auto"/>
              <w:jc w:val="both"/>
              <w:rPr>
                <w:rFonts w:ascii="Times New Roman" w:eastAsia="宋体" w:cs="Times New Roman"/>
                <w:bCs/>
                <w:sz w:val="21"/>
                <w:szCs w:val="21"/>
              </w:rPr>
            </w:pPr>
            <w:r>
              <w:rPr>
                <w:rFonts w:hint="eastAsia" w:ascii="宋体" w:hAnsi="宋体" w:eastAsia="宋体" w:cs="宋体"/>
                <w:bCs/>
                <w:sz w:val="21"/>
                <w:szCs w:val="21"/>
              </w:rPr>
              <w:t>①</w:t>
            </w:r>
            <w:r>
              <w:rPr>
                <w:rFonts w:ascii="Times New Roman" w:eastAsia="宋体" w:cs="Times New Roman"/>
                <w:bCs/>
                <w:sz w:val="21"/>
                <w:szCs w:val="21"/>
              </w:rPr>
              <w:t>课前发布视频和测试任务；</w:t>
            </w:r>
          </w:p>
          <w:p>
            <w:pPr>
              <w:pStyle w:val="48"/>
              <w:spacing w:line="288" w:lineRule="auto"/>
              <w:jc w:val="both"/>
              <w:rPr>
                <w:rFonts w:ascii="Times New Roman" w:eastAsia="宋体" w:cs="Times New Roman"/>
                <w:bCs/>
                <w:sz w:val="21"/>
                <w:szCs w:val="21"/>
              </w:rPr>
            </w:pPr>
            <w:r>
              <w:rPr>
                <w:rFonts w:hint="eastAsia" w:ascii="宋体" w:hAnsi="宋体" w:eastAsia="宋体" w:cs="宋体"/>
                <w:bCs/>
                <w:sz w:val="21"/>
                <w:szCs w:val="21"/>
              </w:rPr>
              <w:t>②</w:t>
            </w:r>
            <w:r>
              <w:rPr>
                <w:rFonts w:ascii="Times New Roman" w:eastAsia="宋体" w:cs="Times New Roman"/>
                <w:bCs/>
                <w:sz w:val="21"/>
                <w:szCs w:val="21"/>
              </w:rPr>
              <w:t>介绍本章节学习目标；</w:t>
            </w:r>
          </w:p>
          <w:p>
            <w:pPr>
              <w:pStyle w:val="48"/>
              <w:spacing w:line="288" w:lineRule="auto"/>
              <w:jc w:val="both"/>
              <w:rPr>
                <w:rFonts w:ascii="Times New Roman" w:eastAsia="宋体" w:cs="Times New Roman"/>
                <w:bCs/>
                <w:sz w:val="21"/>
                <w:szCs w:val="21"/>
              </w:rPr>
            </w:pPr>
            <w:r>
              <w:rPr>
                <w:rFonts w:hint="eastAsia" w:ascii="宋体" w:hAnsi="宋体" w:eastAsia="宋体" w:cs="宋体"/>
                <w:bCs/>
                <w:sz w:val="21"/>
                <w:szCs w:val="21"/>
              </w:rPr>
              <w:t>③</w:t>
            </w:r>
            <w:r>
              <w:rPr>
                <w:rFonts w:ascii="Times New Roman" w:eastAsia="宋体" w:cs="Times New Roman"/>
                <w:bCs/>
                <w:sz w:val="21"/>
                <w:szCs w:val="21"/>
              </w:rPr>
              <w:t>课中讲解品名、品质、数量和包装相关知识；</w:t>
            </w:r>
          </w:p>
          <w:p>
            <w:pPr>
              <w:pStyle w:val="48"/>
              <w:spacing w:line="288" w:lineRule="auto"/>
              <w:jc w:val="both"/>
              <w:rPr>
                <w:rFonts w:ascii="Times New Roman" w:eastAsia="宋体" w:cs="Times New Roman"/>
                <w:bCs/>
                <w:sz w:val="21"/>
                <w:szCs w:val="21"/>
              </w:rPr>
            </w:pPr>
            <w:r>
              <w:rPr>
                <w:rFonts w:hint="eastAsia" w:ascii="宋体" w:hAnsi="宋体" w:eastAsia="宋体" w:cs="宋体"/>
                <w:bCs/>
                <w:sz w:val="21"/>
                <w:szCs w:val="21"/>
              </w:rPr>
              <w:t>④</w:t>
            </w:r>
            <w:r>
              <w:rPr>
                <w:rFonts w:ascii="Times New Roman" w:eastAsia="宋体" w:cs="Times New Roman"/>
                <w:bCs/>
                <w:sz w:val="21"/>
                <w:szCs w:val="21"/>
              </w:rPr>
              <w:t>组织小组讨论：描述电饭锅的品质表示方法、根据图片判断各产品表示品质的方法；</w:t>
            </w:r>
          </w:p>
          <w:p>
            <w:pPr>
              <w:pStyle w:val="48"/>
              <w:spacing w:line="288" w:lineRule="auto"/>
              <w:jc w:val="both"/>
              <w:rPr>
                <w:rFonts w:ascii="Times New Roman" w:eastAsia="宋体" w:cs="Times New Roman"/>
                <w:bCs/>
                <w:sz w:val="21"/>
                <w:szCs w:val="21"/>
              </w:rPr>
            </w:pPr>
            <w:r>
              <w:rPr>
                <w:rFonts w:hint="eastAsia" w:ascii="宋体" w:hAnsi="宋体" w:eastAsia="宋体" w:cs="宋体"/>
                <w:bCs/>
                <w:sz w:val="21"/>
                <w:szCs w:val="21"/>
              </w:rPr>
              <w:t>⑤</w:t>
            </w:r>
            <w:r>
              <w:rPr>
                <w:rFonts w:ascii="Times New Roman" w:eastAsia="宋体" w:cs="Times New Roman"/>
                <w:bCs/>
                <w:sz w:val="21"/>
                <w:szCs w:val="21"/>
              </w:rPr>
              <w:t>案例分析：学生分析UCP600对溢短装条款的进一步规定、分析中性包装的作用；</w:t>
            </w:r>
          </w:p>
          <w:p>
            <w:pPr>
              <w:pStyle w:val="48"/>
              <w:spacing w:line="288" w:lineRule="auto"/>
              <w:jc w:val="both"/>
              <w:rPr>
                <w:rFonts w:ascii="Times New Roman" w:eastAsia="宋体" w:cs="Times New Roman"/>
                <w:bCs/>
                <w:sz w:val="21"/>
                <w:szCs w:val="21"/>
              </w:rPr>
            </w:pPr>
            <w:r>
              <w:rPr>
                <w:rFonts w:hint="eastAsia" w:ascii="宋体" w:hAnsi="宋体" w:eastAsia="宋体" w:cs="宋体"/>
                <w:bCs/>
                <w:sz w:val="21"/>
                <w:szCs w:val="21"/>
              </w:rPr>
              <w:t>⑥</w:t>
            </w:r>
            <w:r>
              <w:rPr>
                <w:rFonts w:ascii="Times New Roman" w:eastAsia="宋体" w:cs="Times New Roman"/>
                <w:bCs/>
                <w:sz w:val="21"/>
                <w:szCs w:val="21"/>
              </w:rPr>
              <w:t>发布情境项目1任务。</w:t>
            </w:r>
          </w:p>
          <w:p>
            <w:pPr>
              <w:pStyle w:val="48"/>
              <w:spacing w:line="288" w:lineRule="auto"/>
              <w:jc w:val="both"/>
              <w:rPr>
                <w:rFonts w:ascii="Times New Roman" w:eastAsia="宋体" w:cs="Times New Roman"/>
                <w:bCs/>
                <w:sz w:val="21"/>
                <w:szCs w:val="21"/>
              </w:rPr>
            </w:pPr>
            <w:r>
              <w:rPr>
                <w:rFonts w:ascii="Times New Roman" w:eastAsia="宋体" w:cs="Times New Roman"/>
                <w:bCs/>
                <w:sz w:val="21"/>
                <w:szCs w:val="21"/>
              </w:rPr>
              <w:t>2、学生任务</w:t>
            </w:r>
          </w:p>
          <w:p>
            <w:pPr>
              <w:pStyle w:val="48"/>
              <w:spacing w:line="288" w:lineRule="auto"/>
              <w:jc w:val="both"/>
              <w:rPr>
                <w:rFonts w:ascii="Times New Roman" w:eastAsia="宋体" w:cs="Times New Roman"/>
                <w:bCs/>
                <w:sz w:val="21"/>
                <w:szCs w:val="21"/>
              </w:rPr>
            </w:pPr>
            <w:r>
              <w:rPr>
                <w:rFonts w:hint="eastAsia" w:ascii="宋体" w:hAnsi="宋体" w:eastAsia="宋体" w:cs="宋体"/>
                <w:bCs/>
                <w:sz w:val="21"/>
                <w:szCs w:val="21"/>
              </w:rPr>
              <w:t>①</w:t>
            </w:r>
            <w:r>
              <w:rPr>
                <w:rFonts w:ascii="Times New Roman" w:eastAsia="宋体" w:cs="Times New Roman"/>
                <w:bCs/>
                <w:sz w:val="21"/>
                <w:szCs w:val="21"/>
              </w:rPr>
              <w:t>课前观看FIF平台视频与课件；</w:t>
            </w:r>
          </w:p>
          <w:p>
            <w:pPr>
              <w:pStyle w:val="48"/>
              <w:spacing w:line="288" w:lineRule="auto"/>
              <w:jc w:val="both"/>
              <w:rPr>
                <w:rFonts w:ascii="Times New Roman" w:eastAsia="宋体" w:cs="Times New Roman"/>
                <w:bCs/>
                <w:sz w:val="21"/>
                <w:szCs w:val="21"/>
              </w:rPr>
            </w:pPr>
            <w:r>
              <w:rPr>
                <w:rFonts w:hint="eastAsia" w:ascii="宋体" w:hAnsi="宋体" w:eastAsia="宋体" w:cs="宋体"/>
                <w:bCs/>
                <w:sz w:val="21"/>
                <w:szCs w:val="21"/>
              </w:rPr>
              <w:t>②</w:t>
            </w:r>
            <w:r>
              <w:rPr>
                <w:rFonts w:ascii="Times New Roman" w:eastAsia="宋体" w:cs="Times New Roman"/>
                <w:bCs/>
                <w:sz w:val="21"/>
                <w:szCs w:val="21"/>
              </w:rPr>
              <w:t>完成在线测试；</w:t>
            </w:r>
          </w:p>
          <w:p>
            <w:pPr>
              <w:pStyle w:val="48"/>
              <w:spacing w:line="288" w:lineRule="auto"/>
              <w:jc w:val="both"/>
              <w:rPr>
                <w:rFonts w:ascii="Times New Roman" w:eastAsia="宋体" w:cs="Times New Roman"/>
                <w:bCs/>
                <w:sz w:val="21"/>
                <w:szCs w:val="21"/>
              </w:rPr>
            </w:pPr>
            <w:r>
              <w:rPr>
                <w:rFonts w:hint="eastAsia" w:ascii="宋体" w:hAnsi="宋体" w:eastAsia="宋体" w:cs="宋体"/>
                <w:bCs/>
                <w:sz w:val="21"/>
                <w:szCs w:val="21"/>
              </w:rPr>
              <w:t>③</w:t>
            </w:r>
            <w:r>
              <w:rPr>
                <w:rFonts w:ascii="Times New Roman" w:eastAsia="宋体" w:cs="Times New Roman"/>
                <w:bCs/>
                <w:sz w:val="21"/>
                <w:szCs w:val="21"/>
              </w:rPr>
              <w:t>完成课件最后的翻译练习、利用智慧教室电脑小组自行手绘一份产品运输标志；</w:t>
            </w:r>
          </w:p>
          <w:p>
            <w:pPr>
              <w:pStyle w:val="48"/>
              <w:spacing w:line="288" w:lineRule="auto"/>
              <w:jc w:val="both"/>
              <w:rPr>
                <w:rFonts w:ascii="Times New Roman" w:eastAsia="宋体" w:cs="Times New Roman"/>
                <w:bCs/>
                <w:snapToGrid w:val="0"/>
                <w:color w:val="auto"/>
                <w:kern w:val="2"/>
                <w:sz w:val="21"/>
                <w:szCs w:val="21"/>
              </w:rPr>
            </w:pPr>
            <w:r>
              <w:rPr>
                <w:rFonts w:hint="eastAsia" w:ascii="宋体" w:hAnsi="宋体" w:eastAsia="宋体" w:cs="宋体"/>
                <w:bCs/>
                <w:sz w:val="21"/>
                <w:szCs w:val="21"/>
              </w:rPr>
              <w:t>④</w:t>
            </w:r>
            <w:r>
              <w:rPr>
                <w:rFonts w:ascii="Times New Roman" w:eastAsia="宋体" w:cs="Times New Roman"/>
                <w:bCs/>
                <w:sz w:val="21"/>
                <w:szCs w:val="21"/>
              </w:rPr>
              <w:t>思维导图、整理学习笔记。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28" w:type="dxa"/>
            <w:bottom w:w="28" w:type="dxa"/>
            <w:right w:w="28" w:type="dxa"/>
          </w:tblCellMar>
        </w:tblPrEx>
        <w:trPr>
          <w:trHeight w:val="20" w:hRule="atLeast"/>
          <w:jc w:val="center"/>
        </w:trPr>
        <w:tc>
          <w:tcPr>
            <w:tcW w:w="0" w:type="auto"/>
            <w:tcMar>
              <w:top w:w="57" w:type="dxa"/>
              <w:bottom w:w="57" w:type="dxa"/>
            </w:tcMar>
            <w:vAlign w:val="center"/>
          </w:tcPr>
          <w:p>
            <w:pPr>
              <w:spacing w:line="288" w:lineRule="auto"/>
              <w:jc w:val="center"/>
              <w:rPr>
                <w:rFonts w:ascii="Times New Roman" w:hAnsi="Times New Roman" w:eastAsia="宋体" w:cs="Times New Roman"/>
                <w:bCs/>
                <w:snapToGrid w:val="0"/>
                <w:szCs w:val="21"/>
              </w:rPr>
            </w:pPr>
            <w:r>
              <w:rPr>
                <w:rFonts w:ascii="Times New Roman" w:hAnsi="Times New Roman" w:eastAsia="宋体" w:cs="Times New Roman"/>
                <w:bCs/>
                <w:snapToGrid w:val="0"/>
                <w:szCs w:val="21"/>
              </w:rPr>
              <w:t>3</w:t>
            </w:r>
          </w:p>
        </w:tc>
        <w:tc>
          <w:tcPr>
            <w:tcW w:w="890" w:type="dxa"/>
            <w:vAlign w:val="center"/>
          </w:tcPr>
          <w:p>
            <w:pPr>
              <w:spacing w:line="288" w:lineRule="auto"/>
              <w:rPr>
                <w:rFonts w:ascii="Times New Roman" w:hAnsi="Times New Roman" w:eastAsia="宋体" w:cs="Times New Roman"/>
                <w:bCs/>
                <w:snapToGrid w:val="0"/>
                <w:szCs w:val="21"/>
              </w:rPr>
            </w:pPr>
            <w:r>
              <w:rPr>
                <w:rFonts w:ascii="Times New Roman" w:hAnsi="Times New Roman" w:eastAsia="宋体" w:cs="Times New Roman"/>
                <w:bCs/>
                <w:snapToGrid w:val="0"/>
                <w:szCs w:val="21"/>
              </w:rPr>
              <w:t>实验一</w:t>
            </w:r>
          </w:p>
          <w:p>
            <w:pPr>
              <w:spacing w:line="288" w:lineRule="auto"/>
              <w:rPr>
                <w:rFonts w:ascii="Times New Roman" w:hAnsi="Times New Roman" w:eastAsia="宋体" w:cs="Times New Roman"/>
                <w:bCs/>
                <w:szCs w:val="21"/>
              </w:rPr>
            </w:pPr>
            <w:r>
              <w:rPr>
                <w:rFonts w:ascii="Times New Roman" w:hAnsi="Times New Roman" w:eastAsia="宋体" w:cs="Times New Roman"/>
                <w:bCs/>
                <w:snapToGrid w:val="0"/>
                <w:szCs w:val="21"/>
              </w:rPr>
              <w:t>实验二</w:t>
            </w:r>
          </w:p>
        </w:tc>
        <w:tc>
          <w:tcPr>
            <w:tcW w:w="3544" w:type="dxa"/>
            <w:tcMar>
              <w:top w:w="57" w:type="dxa"/>
              <w:bottom w:w="57" w:type="dxa"/>
            </w:tcMar>
            <w:vAlign w:val="center"/>
          </w:tcPr>
          <w:p>
            <w:pPr>
              <w:spacing w:line="288" w:lineRule="auto"/>
              <w:rPr>
                <w:rFonts w:ascii="Times New Roman" w:hAnsi="Times New Roman" w:eastAsia="宋体" w:cs="Times New Roman"/>
                <w:bCs/>
                <w:snapToGrid w:val="0"/>
                <w:szCs w:val="21"/>
              </w:rPr>
            </w:pPr>
            <w:r>
              <w:rPr>
                <w:rFonts w:ascii="Times New Roman" w:hAnsi="Times New Roman" w:eastAsia="宋体" w:cs="Times New Roman"/>
                <w:bCs/>
                <w:snapToGrid w:val="0"/>
                <w:szCs w:val="21"/>
              </w:rPr>
              <w:t>1、合同订立前期——如何建立业务关系</w:t>
            </w:r>
          </w:p>
          <w:p>
            <w:pPr>
              <w:spacing w:line="288" w:lineRule="auto"/>
              <w:rPr>
                <w:rFonts w:ascii="Times New Roman" w:hAnsi="Times New Roman" w:eastAsia="宋体" w:cs="Times New Roman"/>
                <w:bCs/>
                <w:snapToGrid w:val="0"/>
                <w:szCs w:val="21"/>
              </w:rPr>
            </w:pPr>
            <w:r>
              <w:rPr>
                <w:rFonts w:ascii="Times New Roman" w:hAnsi="Times New Roman" w:eastAsia="宋体" w:cs="Times New Roman"/>
                <w:bCs/>
                <w:snapToGrid w:val="0"/>
                <w:szCs w:val="21"/>
              </w:rPr>
              <w:t>2、情境项目1：贸易前准备</w:t>
            </w:r>
          </w:p>
          <w:p>
            <w:pPr>
              <w:spacing w:line="288" w:lineRule="auto"/>
              <w:rPr>
                <w:rFonts w:ascii="Times New Roman" w:hAnsi="Times New Roman" w:eastAsia="宋体" w:cs="Times New Roman"/>
                <w:bCs/>
                <w:snapToGrid w:val="0"/>
                <w:szCs w:val="21"/>
              </w:rPr>
            </w:pPr>
            <w:r>
              <w:rPr>
                <w:rFonts w:ascii="Times New Roman" w:hAnsi="Times New Roman" w:eastAsia="宋体" w:cs="Times New Roman"/>
                <w:bCs/>
                <w:snapToGrid w:val="0"/>
                <w:szCs w:val="21"/>
              </w:rPr>
              <w:t>3、模拟展销</w:t>
            </w:r>
          </w:p>
          <w:p>
            <w:pPr>
              <w:spacing w:line="288" w:lineRule="auto"/>
              <w:rPr>
                <w:rFonts w:ascii="Times New Roman" w:hAnsi="Times New Roman" w:eastAsia="宋体" w:cs="Times New Roman"/>
                <w:bCs/>
                <w:snapToGrid w:val="0"/>
                <w:szCs w:val="21"/>
              </w:rPr>
            </w:pPr>
            <w:r>
              <w:rPr>
                <w:rFonts w:ascii="Times New Roman" w:hAnsi="Times New Roman" w:eastAsia="宋体" w:cs="Times New Roman"/>
                <w:bCs/>
                <w:snapToGrid w:val="0"/>
                <w:szCs w:val="21"/>
              </w:rPr>
              <w:t>4、与客户建立联系</w:t>
            </w:r>
          </w:p>
          <w:p>
            <w:pPr>
              <w:spacing w:line="288" w:lineRule="auto"/>
              <w:rPr>
                <w:rFonts w:ascii="Times New Roman" w:hAnsi="Times New Roman" w:eastAsia="宋体" w:cs="Times New Roman"/>
                <w:bCs/>
                <w:snapToGrid w:val="0"/>
                <w:szCs w:val="21"/>
              </w:rPr>
            </w:pPr>
          </w:p>
        </w:tc>
        <w:tc>
          <w:tcPr>
            <w:tcW w:w="5103" w:type="dxa"/>
            <w:tcMar>
              <w:top w:w="57" w:type="dxa"/>
              <w:bottom w:w="57" w:type="dxa"/>
            </w:tcMar>
            <w:vAlign w:val="center"/>
          </w:tcPr>
          <w:p>
            <w:pPr>
              <w:spacing w:line="288" w:lineRule="auto"/>
              <w:rPr>
                <w:rFonts w:ascii="Times New Roman" w:hAnsi="Times New Roman" w:eastAsia="宋体" w:cs="Times New Roman"/>
                <w:bCs/>
                <w:snapToGrid w:val="0"/>
                <w:szCs w:val="21"/>
              </w:rPr>
            </w:pPr>
            <w:r>
              <w:rPr>
                <w:rFonts w:ascii="Times New Roman" w:hAnsi="Times New Roman" w:eastAsia="宋体" w:cs="Times New Roman"/>
                <w:bCs/>
                <w:snapToGrid w:val="0"/>
                <w:szCs w:val="21"/>
              </w:rPr>
              <w:t>1、教学重点</w:t>
            </w:r>
          </w:p>
          <w:p>
            <w:pPr>
              <w:pStyle w:val="6"/>
              <w:spacing w:line="288" w:lineRule="auto"/>
              <w:ind w:firstLine="0" w:firstLineChars="0"/>
              <w:rPr>
                <w:bCs/>
                <w:sz w:val="21"/>
                <w:szCs w:val="21"/>
              </w:rPr>
            </w:pPr>
            <w:r>
              <w:rPr>
                <w:rFonts w:hint="eastAsia" w:ascii="宋体" w:hAnsi="宋体" w:cs="宋体"/>
                <w:bCs/>
                <w:sz w:val="21"/>
                <w:szCs w:val="21"/>
              </w:rPr>
              <w:t>①</w:t>
            </w:r>
            <w:r>
              <w:rPr>
                <w:bCs/>
                <w:sz w:val="21"/>
                <w:szCs w:val="21"/>
              </w:rPr>
              <w:t>明确参展计划书的主要写作内容；</w:t>
            </w:r>
          </w:p>
          <w:p>
            <w:pPr>
              <w:pStyle w:val="6"/>
              <w:spacing w:line="288" w:lineRule="auto"/>
              <w:ind w:firstLine="0" w:firstLineChars="0"/>
              <w:rPr>
                <w:bCs/>
                <w:sz w:val="21"/>
                <w:szCs w:val="21"/>
              </w:rPr>
            </w:pPr>
            <w:r>
              <w:rPr>
                <w:rFonts w:hint="eastAsia" w:ascii="宋体" w:hAnsi="宋体" w:cs="宋体"/>
                <w:bCs/>
                <w:sz w:val="21"/>
                <w:szCs w:val="21"/>
              </w:rPr>
              <w:t>②</w:t>
            </w:r>
            <w:r>
              <w:rPr>
                <w:bCs/>
                <w:sz w:val="21"/>
                <w:szCs w:val="21"/>
              </w:rPr>
              <w:t>分析寻找客户方法，了解市场需求建立业务关系；</w:t>
            </w:r>
          </w:p>
          <w:p>
            <w:pPr>
              <w:pStyle w:val="6"/>
              <w:spacing w:line="288" w:lineRule="auto"/>
              <w:ind w:firstLine="0" w:firstLineChars="0"/>
              <w:rPr>
                <w:bCs/>
                <w:sz w:val="21"/>
                <w:szCs w:val="21"/>
              </w:rPr>
            </w:pPr>
            <w:r>
              <w:rPr>
                <w:rFonts w:hint="eastAsia" w:ascii="宋体" w:hAnsi="宋体" w:cs="宋体"/>
                <w:bCs/>
                <w:sz w:val="21"/>
                <w:szCs w:val="21"/>
              </w:rPr>
              <w:t>③</w:t>
            </w:r>
            <w:r>
              <w:rPr>
                <w:bCs/>
                <w:sz w:val="21"/>
                <w:szCs w:val="21"/>
              </w:rPr>
              <w:t>明确交易磋商前的准备工作。</w:t>
            </w:r>
          </w:p>
          <w:p>
            <w:pPr>
              <w:spacing w:line="288" w:lineRule="auto"/>
              <w:rPr>
                <w:rFonts w:ascii="Times New Roman" w:hAnsi="Times New Roman" w:eastAsia="宋体" w:cs="Times New Roman"/>
                <w:bCs/>
                <w:snapToGrid w:val="0"/>
                <w:szCs w:val="21"/>
              </w:rPr>
            </w:pPr>
            <w:r>
              <w:rPr>
                <w:rFonts w:ascii="Times New Roman" w:hAnsi="Times New Roman" w:eastAsia="宋体" w:cs="Times New Roman"/>
                <w:bCs/>
                <w:snapToGrid w:val="0"/>
                <w:szCs w:val="21"/>
              </w:rPr>
              <w:t>2、教学难点</w:t>
            </w:r>
          </w:p>
          <w:p>
            <w:pPr>
              <w:pStyle w:val="6"/>
              <w:spacing w:line="288" w:lineRule="auto"/>
              <w:ind w:firstLine="0" w:firstLineChars="0"/>
              <w:rPr>
                <w:bCs/>
                <w:sz w:val="21"/>
                <w:szCs w:val="21"/>
              </w:rPr>
            </w:pPr>
            <w:r>
              <w:rPr>
                <w:rFonts w:hint="eastAsia" w:ascii="宋体" w:hAnsi="宋体" w:cs="宋体"/>
                <w:bCs/>
                <w:sz w:val="21"/>
                <w:szCs w:val="21"/>
              </w:rPr>
              <w:t>①</w:t>
            </w:r>
            <w:r>
              <w:rPr>
                <w:bCs/>
                <w:sz w:val="21"/>
                <w:szCs w:val="21"/>
              </w:rPr>
              <w:t>明确出口任务并制定出口计划；</w:t>
            </w:r>
          </w:p>
          <w:p>
            <w:pPr>
              <w:pStyle w:val="6"/>
              <w:spacing w:line="288" w:lineRule="auto"/>
              <w:ind w:firstLine="0" w:firstLineChars="0"/>
              <w:rPr>
                <w:bCs/>
                <w:sz w:val="21"/>
                <w:szCs w:val="21"/>
              </w:rPr>
            </w:pPr>
            <w:r>
              <w:rPr>
                <w:rFonts w:hint="eastAsia" w:ascii="宋体" w:hAnsi="宋体" w:cs="宋体"/>
                <w:bCs/>
                <w:sz w:val="21"/>
                <w:szCs w:val="21"/>
              </w:rPr>
              <w:t>②</w:t>
            </w:r>
            <w:r>
              <w:rPr>
                <w:bCs/>
                <w:sz w:val="21"/>
                <w:szCs w:val="21"/>
              </w:rPr>
              <w:t>阐述商品卖点（重点是品质）；</w:t>
            </w:r>
          </w:p>
          <w:p>
            <w:pPr>
              <w:pStyle w:val="6"/>
              <w:spacing w:line="288" w:lineRule="auto"/>
              <w:ind w:firstLine="0" w:firstLineChars="0"/>
              <w:rPr>
                <w:bCs/>
                <w:sz w:val="21"/>
                <w:szCs w:val="21"/>
              </w:rPr>
            </w:pPr>
            <w:r>
              <w:rPr>
                <w:rFonts w:hint="eastAsia" w:ascii="宋体" w:hAnsi="宋体" w:cs="宋体"/>
                <w:bCs/>
                <w:sz w:val="21"/>
                <w:szCs w:val="21"/>
              </w:rPr>
              <w:t>③</w:t>
            </w:r>
            <w:r>
              <w:rPr>
                <w:bCs/>
                <w:sz w:val="21"/>
                <w:szCs w:val="21"/>
              </w:rPr>
              <w:t>分析如何与客户初步建立联系；</w:t>
            </w:r>
          </w:p>
          <w:p>
            <w:pPr>
              <w:pStyle w:val="6"/>
              <w:spacing w:line="288" w:lineRule="auto"/>
              <w:ind w:firstLine="0" w:firstLineChars="0"/>
              <w:rPr>
                <w:bCs/>
                <w:sz w:val="21"/>
                <w:szCs w:val="21"/>
              </w:rPr>
            </w:pPr>
            <w:r>
              <w:rPr>
                <w:rFonts w:hint="eastAsia" w:ascii="宋体" w:hAnsi="宋体" w:cs="宋体"/>
                <w:bCs/>
                <w:sz w:val="21"/>
                <w:szCs w:val="21"/>
              </w:rPr>
              <w:t>④</w:t>
            </w:r>
            <w:r>
              <w:rPr>
                <w:bCs/>
                <w:sz w:val="21"/>
                <w:szCs w:val="21"/>
              </w:rPr>
              <w:t>课程思政：在线广交会；“一带一路”沿线伙伴；文化差异、文化自信；人际交流、礼仪之邦。</w:t>
            </w:r>
          </w:p>
          <w:p>
            <w:pPr>
              <w:spacing w:line="288" w:lineRule="auto"/>
              <w:rPr>
                <w:rFonts w:ascii="Times New Roman" w:hAnsi="Times New Roman" w:eastAsia="宋体" w:cs="Times New Roman"/>
                <w:bCs/>
                <w:snapToGrid w:val="0"/>
                <w:szCs w:val="21"/>
              </w:rPr>
            </w:pPr>
            <w:r>
              <w:rPr>
                <w:rFonts w:ascii="Times New Roman" w:hAnsi="Times New Roman" w:eastAsia="宋体" w:cs="Times New Roman"/>
                <w:bCs/>
                <w:snapToGrid w:val="0"/>
                <w:szCs w:val="21"/>
              </w:rPr>
              <w:t>3、教学方法：</w:t>
            </w:r>
            <w:r>
              <w:rPr>
                <w:rFonts w:ascii="Times New Roman" w:hAnsi="Times New Roman" w:eastAsia="宋体" w:cs="Times New Roman"/>
                <w:bCs/>
                <w:color w:val="000000"/>
                <w:kern w:val="0"/>
                <w:szCs w:val="21"/>
              </w:rPr>
              <w:t>讲授、实验、情境模拟、多媒体演示。</w:t>
            </w:r>
          </w:p>
        </w:tc>
        <w:tc>
          <w:tcPr>
            <w:tcW w:w="3864" w:type="dxa"/>
            <w:tcMar>
              <w:top w:w="57" w:type="dxa"/>
              <w:bottom w:w="57" w:type="dxa"/>
            </w:tcMar>
            <w:vAlign w:val="center"/>
          </w:tcPr>
          <w:p>
            <w:pPr>
              <w:pStyle w:val="48"/>
              <w:spacing w:line="288" w:lineRule="auto"/>
              <w:jc w:val="both"/>
              <w:rPr>
                <w:rFonts w:ascii="Times New Roman" w:eastAsia="宋体" w:cs="Times New Roman"/>
                <w:bCs/>
                <w:sz w:val="21"/>
                <w:szCs w:val="21"/>
              </w:rPr>
            </w:pPr>
            <w:r>
              <w:rPr>
                <w:rFonts w:ascii="Times New Roman" w:eastAsia="宋体" w:cs="Times New Roman"/>
                <w:bCs/>
                <w:sz w:val="21"/>
                <w:szCs w:val="21"/>
              </w:rPr>
              <w:t>1、教师任务</w:t>
            </w:r>
          </w:p>
          <w:p>
            <w:pPr>
              <w:pStyle w:val="48"/>
              <w:spacing w:line="288" w:lineRule="auto"/>
              <w:jc w:val="both"/>
              <w:rPr>
                <w:rFonts w:ascii="Times New Roman" w:eastAsia="宋体" w:cs="Times New Roman"/>
                <w:bCs/>
                <w:sz w:val="21"/>
                <w:szCs w:val="21"/>
              </w:rPr>
            </w:pPr>
            <w:r>
              <w:rPr>
                <w:rFonts w:hint="eastAsia" w:ascii="宋体" w:hAnsi="宋体" w:eastAsia="宋体" w:cs="宋体"/>
                <w:bCs/>
                <w:sz w:val="21"/>
                <w:szCs w:val="21"/>
              </w:rPr>
              <w:t>①</w:t>
            </w:r>
            <w:r>
              <w:rPr>
                <w:rFonts w:ascii="Times New Roman" w:eastAsia="宋体" w:cs="Times New Roman"/>
                <w:bCs/>
                <w:sz w:val="21"/>
                <w:szCs w:val="21"/>
              </w:rPr>
              <w:t>总结前期所学及反馈学生遇到的问题；</w:t>
            </w:r>
          </w:p>
          <w:p>
            <w:pPr>
              <w:pStyle w:val="48"/>
              <w:spacing w:line="288" w:lineRule="auto"/>
              <w:jc w:val="both"/>
              <w:rPr>
                <w:rFonts w:ascii="Times New Roman" w:eastAsia="宋体" w:cs="Times New Roman"/>
                <w:bCs/>
                <w:sz w:val="21"/>
                <w:szCs w:val="21"/>
              </w:rPr>
            </w:pPr>
            <w:r>
              <w:rPr>
                <w:rFonts w:hint="eastAsia" w:ascii="宋体" w:hAnsi="宋体" w:eastAsia="宋体" w:cs="宋体"/>
                <w:bCs/>
                <w:sz w:val="21"/>
                <w:szCs w:val="21"/>
              </w:rPr>
              <w:t>②</w:t>
            </w:r>
            <w:r>
              <w:rPr>
                <w:rFonts w:ascii="Times New Roman" w:eastAsia="宋体" w:cs="Times New Roman"/>
                <w:bCs/>
                <w:sz w:val="21"/>
                <w:szCs w:val="21"/>
              </w:rPr>
              <w:t>介绍实验安排与实验目的；</w:t>
            </w:r>
          </w:p>
          <w:p>
            <w:pPr>
              <w:pStyle w:val="48"/>
              <w:spacing w:line="288" w:lineRule="auto"/>
              <w:jc w:val="both"/>
              <w:rPr>
                <w:rFonts w:ascii="Times New Roman" w:eastAsia="宋体" w:cs="Times New Roman"/>
                <w:bCs/>
                <w:sz w:val="21"/>
                <w:szCs w:val="21"/>
              </w:rPr>
            </w:pPr>
            <w:r>
              <w:rPr>
                <w:rFonts w:hint="eastAsia" w:ascii="宋体" w:hAnsi="宋体" w:eastAsia="宋体" w:cs="宋体"/>
                <w:bCs/>
                <w:sz w:val="21"/>
                <w:szCs w:val="21"/>
              </w:rPr>
              <w:t>③</w:t>
            </w:r>
            <w:r>
              <w:rPr>
                <w:rFonts w:ascii="Times New Roman" w:eastAsia="宋体" w:cs="Times New Roman"/>
                <w:bCs/>
                <w:sz w:val="21"/>
                <w:szCs w:val="21"/>
              </w:rPr>
              <w:t>组织学生完成情境项目1的模拟学习及评价；</w:t>
            </w:r>
          </w:p>
          <w:p>
            <w:pPr>
              <w:pStyle w:val="48"/>
              <w:spacing w:line="288" w:lineRule="auto"/>
              <w:jc w:val="both"/>
              <w:rPr>
                <w:rFonts w:ascii="Times New Roman" w:eastAsia="宋体" w:cs="Times New Roman"/>
                <w:bCs/>
                <w:sz w:val="21"/>
                <w:szCs w:val="21"/>
              </w:rPr>
            </w:pPr>
            <w:r>
              <w:rPr>
                <w:rFonts w:hint="eastAsia" w:ascii="宋体" w:hAnsi="宋体" w:eastAsia="宋体" w:cs="宋体"/>
                <w:bCs/>
                <w:sz w:val="21"/>
                <w:szCs w:val="21"/>
              </w:rPr>
              <w:t>④</w:t>
            </w:r>
            <w:r>
              <w:rPr>
                <w:rFonts w:ascii="Times New Roman" w:eastAsia="宋体" w:cs="Times New Roman"/>
                <w:bCs/>
                <w:sz w:val="21"/>
                <w:szCs w:val="21"/>
              </w:rPr>
              <w:t>发布下节课任务单，并反思。</w:t>
            </w:r>
          </w:p>
          <w:p>
            <w:pPr>
              <w:pStyle w:val="48"/>
              <w:spacing w:line="288" w:lineRule="auto"/>
              <w:jc w:val="both"/>
              <w:rPr>
                <w:rFonts w:ascii="Times New Roman" w:eastAsia="宋体" w:cs="Times New Roman"/>
                <w:bCs/>
                <w:sz w:val="21"/>
                <w:szCs w:val="21"/>
              </w:rPr>
            </w:pPr>
            <w:r>
              <w:rPr>
                <w:rFonts w:ascii="Times New Roman" w:eastAsia="宋体" w:cs="Times New Roman"/>
                <w:bCs/>
                <w:sz w:val="21"/>
                <w:szCs w:val="21"/>
              </w:rPr>
              <w:t>2、学生任务</w:t>
            </w:r>
          </w:p>
          <w:p>
            <w:pPr>
              <w:pStyle w:val="48"/>
              <w:spacing w:line="288" w:lineRule="auto"/>
              <w:jc w:val="both"/>
              <w:rPr>
                <w:rFonts w:ascii="Times New Roman" w:eastAsia="宋体" w:cs="Times New Roman"/>
                <w:bCs/>
                <w:sz w:val="21"/>
                <w:szCs w:val="21"/>
              </w:rPr>
            </w:pPr>
            <w:r>
              <w:rPr>
                <w:rFonts w:hint="eastAsia" w:ascii="宋体" w:hAnsi="宋体" w:eastAsia="宋体" w:cs="宋体"/>
                <w:bCs/>
                <w:sz w:val="21"/>
                <w:szCs w:val="21"/>
              </w:rPr>
              <w:t>①</w:t>
            </w:r>
            <w:r>
              <w:rPr>
                <w:rFonts w:ascii="Times New Roman" w:eastAsia="宋体" w:cs="Times New Roman"/>
                <w:bCs/>
                <w:sz w:val="21"/>
                <w:szCs w:val="21"/>
              </w:rPr>
              <w:t>课前完成情境项目1任务准备；</w:t>
            </w:r>
          </w:p>
          <w:p>
            <w:pPr>
              <w:pStyle w:val="48"/>
              <w:spacing w:line="288" w:lineRule="auto"/>
              <w:jc w:val="both"/>
              <w:rPr>
                <w:rFonts w:ascii="Times New Roman" w:eastAsia="宋体" w:cs="Times New Roman"/>
                <w:bCs/>
                <w:sz w:val="21"/>
                <w:szCs w:val="21"/>
              </w:rPr>
            </w:pPr>
            <w:r>
              <w:rPr>
                <w:rFonts w:hint="eastAsia" w:ascii="宋体" w:hAnsi="宋体" w:eastAsia="宋体" w:cs="宋体"/>
                <w:bCs/>
                <w:sz w:val="21"/>
                <w:szCs w:val="21"/>
              </w:rPr>
              <w:t>②</w:t>
            </w:r>
            <w:r>
              <w:rPr>
                <w:rFonts w:ascii="Times New Roman" w:eastAsia="宋体" w:cs="Times New Roman"/>
                <w:bCs/>
                <w:sz w:val="21"/>
                <w:szCs w:val="21"/>
              </w:rPr>
              <w:t>以进出口商角色进行模拟；</w:t>
            </w:r>
          </w:p>
          <w:p>
            <w:pPr>
              <w:pStyle w:val="48"/>
              <w:spacing w:line="288" w:lineRule="auto"/>
              <w:jc w:val="both"/>
              <w:rPr>
                <w:rFonts w:ascii="Times New Roman" w:eastAsia="宋体" w:cs="Times New Roman"/>
                <w:bCs/>
                <w:sz w:val="21"/>
                <w:szCs w:val="21"/>
              </w:rPr>
            </w:pPr>
            <w:r>
              <w:rPr>
                <w:rFonts w:hint="eastAsia" w:ascii="宋体" w:hAnsi="宋体" w:eastAsia="宋体" w:cs="宋体"/>
                <w:bCs/>
                <w:sz w:val="21"/>
                <w:szCs w:val="21"/>
              </w:rPr>
              <w:t>③</w:t>
            </w:r>
            <w:r>
              <w:rPr>
                <w:rFonts w:ascii="Times New Roman" w:eastAsia="宋体" w:cs="Times New Roman"/>
                <w:bCs/>
                <w:sz w:val="21"/>
                <w:szCs w:val="21"/>
              </w:rPr>
              <w:t>课后在爱课堂平台对各小组进行互评；</w:t>
            </w:r>
          </w:p>
          <w:p>
            <w:pPr>
              <w:pStyle w:val="48"/>
              <w:spacing w:line="288" w:lineRule="auto"/>
              <w:jc w:val="both"/>
              <w:rPr>
                <w:rFonts w:ascii="Times New Roman" w:eastAsia="宋体" w:cs="Times New Roman"/>
                <w:bCs/>
                <w:snapToGrid w:val="0"/>
                <w:color w:val="auto"/>
                <w:kern w:val="2"/>
                <w:sz w:val="21"/>
                <w:szCs w:val="21"/>
              </w:rPr>
            </w:pPr>
            <w:r>
              <w:rPr>
                <w:rFonts w:hint="eastAsia" w:ascii="宋体" w:hAnsi="宋体" w:eastAsia="宋体" w:cs="宋体"/>
                <w:bCs/>
                <w:sz w:val="21"/>
                <w:szCs w:val="21"/>
              </w:rPr>
              <w:t>④</w:t>
            </w:r>
            <w:r>
              <w:rPr>
                <w:rFonts w:ascii="Times New Roman" w:eastAsia="宋体" w:cs="Times New Roman"/>
                <w:bCs/>
                <w:sz w:val="21"/>
                <w:szCs w:val="21"/>
              </w:rPr>
              <w:t>总结前两章学习内容，做好学习笔记，撰写实验报告。</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28" w:type="dxa"/>
            <w:bottom w:w="28" w:type="dxa"/>
            <w:right w:w="28" w:type="dxa"/>
          </w:tblCellMar>
        </w:tblPrEx>
        <w:trPr>
          <w:trHeight w:val="20" w:hRule="atLeast"/>
          <w:jc w:val="center"/>
        </w:trPr>
        <w:tc>
          <w:tcPr>
            <w:tcW w:w="0" w:type="auto"/>
            <w:tcMar>
              <w:top w:w="57" w:type="dxa"/>
              <w:bottom w:w="57" w:type="dxa"/>
            </w:tcMar>
            <w:vAlign w:val="center"/>
          </w:tcPr>
          <w:p>
            <w:pPr>
              <w:spacing w:line="288" w:lineRule="auto"/>
              <w:jc w:val="center"/>
              <w:rPr>
                <w:rFonts w:ascii="Times New Roman" w:hAnsi="Times New Roman" w:eastAsia="宋体" w:cs="Times New Roman"/>
                <w:bCs/>
                <w:snapToGrid w:val="0"/>
                <w:szCs w:val="21"/>
              </w:rPr>
            </w:pPr>
            <w:r>
              <w:rPr>
                <w:rFonts w:ascii="Times New Roman" w:hAnsi="Times New Roman" w:eastAsia="宋体" w:cs="Times New Roman"/>
                <w:bCs/>
                <w:snapToGrid w:val="0"/>
                <w:szCs w:val="21"/>
              </w:rPr>
              <w:t>4</w:t>
            </w:r>
          </w:p>
        </w:tc>
        <w:tc>
          <w:tcPr>
            <w:tcW w:w="890" w:type="dxa"/>
            <w:vAlign w:val="center"/>
          </w:tcPr>
          <w:p>
            <w:pPr>
              <w:spacing w:line="288" w:lineRule="auto"/>
              <w:jc w:val="center"/>
              <w:rPr>
                <w:rFonts w:ascii="Times New Roman" w:hAnsi="Times New Roman" w:eastAsia="宋体" w:cs="Times New Roman"/>
                <w:bCs/>
                <w:snapToGrid w:val="0"/>
                <w:szCs w:val="21"/>
              </w:rPr>
            </w:pPr>
            <w:r>
              <w:rPr>
                <w:rFonts w:ascii="Times New Roman" w:hAnsi="Times New Roman" w:eastAsia="宋体" w:cs="Times New Roman"/>
                <w:bCs/>
                <w:snapToGrid w:val="0"/>
                <w:szCs w:val="21"/>
              </w:rPr>
              <w:t>第三章</w:t>
            </w:r>
          </w:p>
          <w:p>
            <w:pPr>
              <w:spacing w:line="288" w:lineRule="auto"/>
              <w:jc w:val="center"/>
              <w:rPr>
                <w:rFonts w:ascii="Times New Roman" w:hAnsi="Times New Roman" w:eastAsia="宋体" w:cs="Times New Roman"/>
                <w:bCs/>
                <w:snapToGrid w:val="0"/>
                <w:szCs w:val="21"/>
              </w:rPr>
            </w:pPr>
            <w:r>
              <w:rPr>
                <w:rFonts w:ascii="Times New Roman" w:hAnsi="Times New Roman" w:eastAsia="宋体" w:cs="Times New Roman"/>
                <w:bCs/>
                <w:snapToGrid w:val="0"/>
                <w:szCs w:val="21"/>
              </w:rPr>
              <w:t>商品的价格</w:t>
            </w:r>
          </w:p>
        </w:tc>
        <w:tc>
          <w:tcPr>
            <w:tcW w:w="3544" w:type="dxa"/>
            <w:tcMar>
              <w:top w:w="57" w:type="dxa"/>
              <w:bottom w:w="57" w:type="dxa"/>
            </w:tcMar>
            <w:vAlign w:val="center"/>
          </w:tcPr>
          <w:p>
            <w:pPr>
              <w:spacing w:line="288" w:lineRule="auto"/>
              <w:rPr>
                <w:rFonts w:ascii="Times New Roman" w:hAnsi="Times New Roman" w:eastAsia="宋体" w:cs="Times New Roman"/>
                <w:bCs/>
                <w:snapToGrid w:val="0"/>
                <w:szCs w:val="21"/>
              </w:rPr>
            </w:pPr>
            <w:r>
              <w:rPr>
                <w:rFonts w:ascii="Times New Roman" w:hAnsi="Times New Roman" w:eastAsia="宋体" w:cs="Times New Roman"/>
                <w:bCs/>
                <w:snapToGrid w:val="0"/>
                <w:szCs w:val="21"/>
              </w:rPr>
              <w:t>1、价格的掌握</w:t>
            </w:r>
          </w:p>
          <w:p>
            <w:pPr>
              <w:spacing w:line="288" w:lineRule="auto"/>
              <w:rPr>
                <w:rFonts w:ascii="Times New Roman" w:hAnsi="Times New Roman" w:eastAsia="宋体" w:cs="Times New Roman"/>
                <w:bCs/>
                <w:snapToGrid w:val="0"/>
                <w:szCs w:val="21"/>
              </w:rPr>
            </w:pPr>
            <w:r>
              <w:rPr>
                <w:rFonts w:ascii="Times New Roman" w:hAnsi="Times New Roman" w:eastAsia="宋体" w:cs="Times New Roman"/>
                <w:bCs/>
                <w:snapToGrid w:val="0"/>
                <w:szCs w:val="21"/>
              </w:rPr>
              <w:t>2、实际业务出口报价核算</w:t>
            </w:r>
          </w:p>
          <w:p>
            <w:pPr>
              <w:spacing w:line="288" w:lineRule="auto"/>
              <w:rPr>
                <w:rFonts w:ascii="Times New Roman" w:hAnsi="Times New Roman" w:eastAsia="宋体" w:cs="Times New Roman"/>
                <w:bCs/>
                <w:snapToGrid w:val="0"/>
                <w:szCs w:val="21"/>
              </w:rPr>
            </w:pPr>
            <w:r>
              <w:rPr>
                <w:rFonts w:ascii="Times New Roman" w:hAnsi="Times New Roman" w:eastAsia="宋体" w:cs="Times New Roman"/>
                <w:bCs/>
                <w:snapToGrid w:val="0"/>
                <w:szCs w:val="21"/>
              </w:rPr>
              <w:t>3、佣金和折扣</w:t>
            </w:r>
          </w:p>
        </w:tc>
        <w:tc>
          <w:tcPr>
            <w:tcW w:w="5103" w:type="dxa"/>
            <w:tcMar>
              <w:top w:w="57" w:type="dxa"/>
              <w:bottom w:w="57" w:type="dxa"/>
            </w:tcMar>
            <w:vAlign w:val="center"/>
          </w:tcPr>
          <w:p>
            <w:pPr>
              <w:spacing w:line="288" w:lineRule="auto"/>
              <w:rPr>
                <w:rFonts w:ascii="Times New Roman" w:hAnsi="Times New Roman" w:eastAsia="宋体" w:cs="Times New Roman"/>
                <w:bCs/>
                <w:snapToGrid w:val="0"/>
                <w:szCs w:val="21"/>
              </w:rPr>
            </w:pPr>
            <w:r>
              <w:rPr>
                <w:rFonts w:ascii="Times New Roman" w:hAnsi="Times New Roman" w:eastAsia="宋体" w:cs="Times New Roman"/>
                <w:bCs/>
                <w:snapToGrid w:val="0"/>
                <w:szCs w:val="21"/>
              </w:rPr>
              <w:t>1、教学重点</w:t>
            </w:r>
          </w:p>
          <w:p>
            <w:pPr>
              <w:pStyle w:val="6"/>
              <w:spacing w:line="288" w:lineRule="auto"/>
              <w:ind w:firstLine="0" w:firstLineChars="0"/>
              <w:rPr>
                <w:bCs/>
                <w:sz w:val="21"/>
                <w:szCs w:val="21"/>
              </w:rPr>
            </w:pPr>
            <w:r>
              <w:rPr>
                <w:rFonts w:hint="eastAsia" w:ascii="宋体" w:hAnsi="宋体" w:cs="宋体"/>
                <w:bCs/>
                <w:sz w:val="21"/>
                <w:szCs w:val="21"/>
              </w:rPr>
              <w:t>①</w:t>
            </w:r>
            <w:r>
              <w:rPr>
                <w:bCs/>
                <w:sz w:val="21"/>
                <w:szCs w:val="21"/>
              </w:rPr>
              <w:t>了解影响产品价格的主要因素；</w:t>
            </w:r>
          </w:p>
          <w:p>
            <w:pPr>
              <w:pStyle w:val="6"/>
              <w:spacing w:line="288" w:lineRule="auto"/>
              <w:ind w:firstLine="0" w:firstLineChars="0"/>
              <w:rPr>
                <w:bCs/>
                <w:sz w:val="21"/>
                <w:szCs w:val="21"/>
              </w:rPr>
            </w:pPr>
            <w:r>
              <w:rPr>
                <w:rFonts w:hint="eastAsia" w:ascii="宋体" w:hAnsi="宋体" w:cs="宋体"/>
                <w:bCs/>
                <w:sz w:val="21"/>
                <w:szCs w:val="21"/>
              </w:rPr>
              <w:t>②</w:t>
            </w:r>
            <w:r>
              <w:rPr>
                <w:bCs/>
                <w:sz w:val="21"/>
                <w:szCs w:val="21"/>
              </w:rPr>
              <w:t>FOB\CFR\CIF下商品价格构成及报价组成；</w:t>
            </w:r>
          </w:p>
          <w:p>
            <w:pPr>
              <w:pStyle w:val="6"/>
              <w:spacing w:line="288" w:lineRule="auto"/>
              <w:ind w:firstLine="0" w:firstLineChars="0"/>
              <w:rPr>
                <w:bCs/>
                <w:sz w:val="21"/>
                <w:szCs w:val="21"/>
              </w:rPr>
            </w:pPr>
            <w:r>
              <w:rPr>
                <w:rFonts w:hint="eastAsia" w:ascii="宋体" w:hAnsi="宋体" w:cs="宋体"/>
                <w:bCs/>
                <w:sz w:val="21"/>
                <w:szCs w:val="21"/>
              </w:rPr>
              <w:t>③</w:t>
            </w:r>
            <w:r>
              <w:rPr>
                <w:bCs/>
                <w:sz w:val="21"/>
                <w:szCs w:val="21"/>
              </w:rPr>
              <w:t>明晰出口报价成本核算方法、出口报价与还价核算方法。</w:t>
            </w:r>
          </w:p>
          <w:p>
            <w:pPr>
              <w:spacing w:line="288" w:lineRule="auto"/>
              <w:rPr>
                <w:rFonts w:ascii="Times New Roman" w:hAnsi="Times New Roman" w:eastAsia="宋体" w:cs="Times New Roman"/>
                <w:bCs/>
                <w:snapToGrid w:val="0"/>
                <w:szCs w:val="21"/>
              </w:rPr>
            </w:pPr>
            <w:r>
              <w:rPr>
                <w:rFonts w:ascii="Times New Roman" w:hAnsi="Times New Roman" w:eastAsia="宋体" w:cs="Times New Roman"/>
                <w:bCs/>
                <w:snapToGrid w:val="0"/>
                <w:szCs w:val="21"/>
              </w:rPr>
              <w:t>2、教学难点</w:t>
            </w:r>
          </w:p>
          <w:p>
            <w:pPr>
              <w:pStyle w:val="6"/>
              <w:spacing w:line="288" w:lineRule="auto"/>
              <w:ind w:firstLine="0" w:firstLineChars="0"/>
              <w:rPr>
                <w:bCs/>
                <w:sz w:val="21"/>
                <w:szCs w:val="21"/>
              </w:rPr>
            </w:pPr>
            <w:r>
              <w:rPr>
                <w:rFonts w:hint="eastAsia" w:ascii="宋体" w:hAnsi="宋体" w:cs="宋体"/>
                <w:bCs/>
                <w:sz w:val="21"/>
                <w:szCs w:val="21"/>
              </w:rPr>
              <w:t>①</w:t>
            </w:r>
            <w:r>
              <w:rPr>
                <w:bCs/>
                <w:sz w:val="21"/>
                <w:szCs w:val="21"/>
              </w:rPr>
              <w:t>含佣价、折扣价与净价关系；</w:t>
            </w:r>
          </w:p>
          <w:p>
            <w:pPr>
              <w:pStyle w:val="6"/>
              <w:spacing w:line="288" w:lineRule="auto"/>
              <w:ind w:firstLine="0" w:firstLineChars="0"/>
              <w:rPr>
                <w:bCs/>
                <w:sz w:val="21"/>
                <w:szCs w:val="21"/>
              </w:rPr>
            </w:pPr>
            <w:r>
              <w:rPr>
                <w:rFonts w:hint="eastAsia" w:ascii="宋体" w:hAnsi="宋体" w:cs="宋体"/>
                <w:bCs/>
                <w:sz w:val="21"/>
                <w:szCs w:val="21"/>
              </w:rPr>
              <w:t>②</w:t>
            </w:r>
            <w:r>
              <w:rPr>
                <w:bCs/>
                <w:sz w:val="21"/>
                <w:szCs w:val="21"/>
              </w:rPr>
              <w:t>重点分析出口换汇成本核算；</w:t>
            </w:r>
          </w:p>
          <w:p>
            <w:pPr>
              <w:pStyle w:val="6"/>
              <w:spacing w:line="288" w:lineRule="auto"/>
              <w:ind w:firstLine="0" w:firstLineChars="0"/>
              <w:rPr>
                <w:bCs/>
                <w:sz w:val="21"/>
                <w:szCs w:val="21"/>
              </w:rPr>
            </w:pPr>
            <w:r>
              <w:rPr>
                <w:rFonts w:hint="eastAsia" w:ascii="宋体" w:hAnsi="宋体" w:cs="宋体"/>
                <w:bCs/>
                <w:sz w:val="21"/>
                <w:szCs w:val="21"/>
              </w:rPr>
              <w:t>③</w:t>
            </w:r>
            <w:r>
              <w:rPr>
                <w:bCs/>
                <w:sz w:val="21"/>
                <w:szCs w:val="21"/>
              </w:rPr>
              <w:t>分析出口退税后出口报价成本核算方法；</w:t>
            </w:r>
          </w:p>
          <w:p>
            <w:pPr>
              <w:pStyle w:val="6"/>
              <w:spacing w:line="288" w:lineRule="auto"/>
              <w:ind w:firstLine="0" w:firstLineChars="0"/>
              <w:rPr>
                <w:bCs/>
                <w:sz w:val="21"/>
                <w:szCs w:val="21"/>
              </w:rPr>
            </w:pPr>
            <w:r>
              <w:rPr>
                <w:rFonts w:hint="eastAsia" w:ascii="宋体" w:hAnsi="宋体" w:cs="宋体"/>
                <w:bCs/>
                <w:sz w:val="21"/>
                <w:szCs w:val="21"/>
              </w:rPr>
              <w:t>④</w:t>
            </w:r>
            <w:r>
              <w:rPr>
                <w:bCs/>
                <w:sz w:val="21"/>
                <w:szCs w:val="21"/>
              </w:rPr>
              <w:t>明晰出口含佣报价与还价核算方法；</w:t>
            </w:r>
          </w:p>
          <w:p>
            <w:pPr>
              <w:pStyle w:val="6"/>
              <w:spacing w:line="288" w:lineRule="auto"/>
              <w:ind w:firstLine="0" w:firstLineChars="0"/>
              <w:rPr>
                <w:bCs/>
                <w:sz w:val="21"/>
                <w:szCs w:val="21"/>
              </w:rPr>
            </w:pPr>
            <w:r>
              <w:rPr>
                <w:rFonts w:hint="eastAsia" w:ascii="宋体" w:hAnsi="宋体" w:cs="宋体"/>
                <w:bCs/>
                <w:sz w:val="21"/>
                <w:szCs w:val="21"/>
              </w:rPr>
              <w:t>④</w:t>
            </w:r>
            <w:r>
              <w:rPr>
                <w:bCs/>
                <w:sz w:val="21"/>
                <w:szCs w:val="21"/>
              </w:rPr>
              <w:t>课程思政：鸿星尔克国货品牌报价，谈判礼仪，和而不同、守时与尊重。</w:t>
            </w:r>
          </w:p>
          <w:p>
            <w:pPr>
              <w:spacing w:line="288" w:lineRule="auto"/>
              <w:rPr>
                <w:rFonts w:ascii="Times New Roman" w:hAnsi="Times New Roman" w:eastAsia="宋体" w:cs="Times New Roman"/>
                <w:bCs/>
                <w:snapToGrid w:val="0"/>
                <w:szCs w:val="21"/>
              </w:rPr>
            </w:pPr>
            <w:r>
              <w:rPr>
                <w:rFonts w:ascii="Times New Roman" w:hAnsi="Times New Roman" w:eastAsia="宋体" w:cs="Times New Roman"/>
                <w:bCs/>
                <w:snapToGrid w:val="0"/>
                <w:szCs w:val="21"/>
              </w:rPr>
              <w:t>3、教学方法：线上资源平台、</w:t>
            </w:r>
            <w:r>
              <w:rPr>
                <w:rFonts w:ascii="Times New Roman" w:hAnsi="Times New Roman" w:eastAsia="宋体" w:cs="Times New Roman"/>
                <w:bCs/>
                <w:color w:val="000000"/>
                <w:kern w:val="0"/>
                <w:szCs w:val="21"/>
              </w:rPr>
              <w:t>讲授、交流讨论、案例分析、多媒体演示、板书。</w:t>
            </w:r>
          </w:p>
        </w:tc>
        <w:tc>
          <w:tcPr>
            <w:tcW w:w="3864" w:type="dxa"/>
            <w:tcMar>
              <w:top w:w="57" w:type="dxa"/>
              <w:bottom w:w="57" w:type="dxa"/>
            </w:tcMar>
            <w:vAlign w:val="center"/>
          </w:tcPr>
          <w:p>
            <w:pPr>
              <w:pStyle w:val="48"/>
              <w:spacing w:line="288" w:lineRule="auto"/>
              <w:jc w:val="both"/>
              <w:rPr>
                <w:rFonts w:ascii="Times New Roman" w:eastAsia="宋体" w:cs="Times New Roman"/>
                <w:bCs/>
                <w:sz w:val="21"/>
                <w:szCs w:val="21"/>
              </w:rPr>
            </w:pPr>
            <w:r>
              <w:rPr>
                <w:rFonts w:ascii="Times New Roman" w:eastAsia="宋体" w:cs="Times New Roman"/>
                <w:bCs/>
                <w:sz w:val="21"/>
                <w:szCs w:val="21"/>
              </w:rPr>
              <w:t>1、教师任务</w:t>
            </w:r>
          </w:p>
          <w:p>
            <w:pPr>
              <w:pStyle w:val="48"/>
              <w:spacing w:line="288" w:lineRule="auto"/>
              <w:jc w:val="both"/>
              <w:rPr>
                <w:rFonts w:ascii="Times New Roman" w:eastAsia="宋体" w:cs="Times New Roman"/>
                <w:bCs/>
                <w:sz w:val="21"/>
                <w:szCs w:val="21"/>
              </w:rPr>
            </w:pPr>
            <w:r>
              <w:rPr>
                <w:rFonts w:hint="eastAsia" w:ascii="宋体" w:hAnsi="宋体" w:eastAsia="宋体" w:cs="宋体"/>
                <w:bCs/>
                <w:sz w:val="21"/>
                <w:szCs w:val="21"/>
              </w:rPr>
              <w:t>①</w:t>
            </w:r>
            <w:r>
              <w:rPr>
                <w:rFonts w:ascii="Times New Roman" w:eastAsia="宋体" w:cs="Times New Roman"/>
                <w:bCs/>
                <w:sz w:val="21"/>
                <w:szCs w:val="21"/>
              </w:rPr>
              <w:t>课前发布视频和测试任务；</w:t>
            </w:r>
          </w:p>
          <w:p>
            <w:pPr>
              <w:pStyle w:val="48"/>
              <w:spacing w:line="288" w:lineRule="auto"/>
              <w:jc w:val="both"/>
              <w:rPr>
                <w:rFonts w:ascii="Times New Roman" w:eastAsia="宋体" w:cs="Times New Roman"/>
                <w:bCs/>
                <w:sz w:val="21"/>
                <w:szCs w:val="21"/>
              </w:rPr>
            </w:pPr>
            <w:r>
              <w:rPr>
                <w:rFonts w:hint="eastAsia" w:ascii="宋体" w:hAnsi="宋体" w:eastAsia="宋体" w:cs="宋体"/>
                <w:bCs/>
                <w:sz w:val="21"/>
                <w:szCs w:val="21"/>
              </w:rPr>
              <w:t>②</w:t>
            </w:r>
            <w:r>
              <w:rPr>
                <w:rFonts w:ascii="Times New Roman" w:eastAsia="宋体" w:cs="Times New Roman"/>
                <w:bCs/>
                <w:sz w:val="21"/>
                <w:szCs w:val="21"/>
              </w:rPr>
              <w:t>介绍本章节学习目标；</w:t>
            </w:r>
          </w:p>
          <w:p>
            <w:pPr>
              <w:pStyle w:val="48"/>
              <w:spacing w:line="288" w:lineRule="auto"/>
              <w:jc w:val="both"/>
              <w:rPr>
                <w:rFonts w:ascii="Times New Roman" w:eastAsia="宋体" w:cs="Times New Roman"/>
                <w:bCs/>
                <w:sz w:val="21"/>
                <w:szCs w:val="21"/>
              </w:rPr>
            </w:pPr>
            <w:r>
              <w:rPr>
                <w:rFonts w:hint="eastAsia" w:ascii="宋体" w:hAnsi="宋体" w:eastAsia="宋体" w:cs="宋体"/>
                <w:bCs/>
                <w:sz w:val="21"/>
                <w:szCs w:val="21"/>
              </w:rPr>
              <w:t>③</w:t>
            </w:r>
            <w:r>
              <w:rPr>
                <w:rFonts w:ascii="Times New Roman" w:eastAsia="宋体" w:cs="Times New Roman"/>
                <w:bCs/>
                <w:sz w:val="21"/>
                <w:szCs w:val="21"/>
              </w:rPr>
              <w:t>以自行车报价为例导入课程；</w:t>
            </w:r>
          </w:p>
          <w:p>
            <w:pPr>
              <w:pStyle w:val="48"/>
              <w:spacing w:line="288" w:lineRule="auto"/>
              <w:jc w:val="both"/>
              <w:rPr>
                <w:rFonts w:ascii="Times New Roman" w:eastAsia="宋体" w:cs="Times New Roman"/>
                <w:bCs/>
                <w:sz w:val="21"/>
                <w:szCs w:val="21"/>
              </w:rPr>
            </w:pPr>
            <w:r>
              <w:rPr>
                <w:rFonts w:hint="eastAsia" w:ascii="宋体" w:hAnsi="宋体" w:eastAsia="宋体" w:cs="宋体"/>
                <w:bCs/>
                <w:sz w:val="21"/>
                <w:szCs w:val="21"/>
              </w:rPr>
              <w:t>④</w:t>
            </w:r>
            <w:r>
              <w:rPr>
                <w:rFonts w:ascii="Times New Roman" w:eastAsia="宋体" w:cs="Times New Roman"/>
                <w:bCs/>
                <w:sz w:val="21"/>
                <w:szCs w:val="21"/>
              </w:rPr>
              <w:t>计算各类成本指标、报价等；</w:t>
            </w:r>
          </w:p>
          <w:p>
            <w:pPr>
              <w:pStyle w:val="48"/>
              <w:spacing w:line="288" w:lineRule="auto"/>
              <w:jc w:val="both"/>
              <w:rPr>
                <w:rFonts w:ascii="Times New Roman" w:eastAsia="宋体" w:cs="Times New Roman"/>
                <w:bCs/>
                <w:sz w:val="21"/>
                <w:szCs w:val="21"/>
              </w:rPr>
            </w:pPr>
            <w:r>
              <w:rPr>
                <w:rFonts w:hint="eastAsia" w:ascii="宋体" w:hAnsi="宋体" w:eastAsia="宋体" w:cs="宋体"/>
                <w:bCs/>
                <w:sz w:val="21"/>
                <w:szCs w:val="21"/>
              </w:rPr>
              <w:t>⑤</w:t>
            </w:r>
            <w:r>
              <w:rPr>
                <w:rFonts w:ascii="Times New Roman" w:eastAsia="宋体" w:cs="Times New Roman"/>
                <w:bCs/>
                <w:sz w:val="21"/>
                <w:szCs w:val="21"/>
              </w:rPr>
              <w:t>判断报价方式是否正确：纠错练习；</w:t>
            </w:r>
          </w:p>
          <w:p>
            <w:pPr>
              <w:pStyle w:val="48"/>
              <w:spacing w:line="288" w:lineRule="auto"/>
              <w:jc w:val="both"/>
              <w:rPr>
                <w:rFonts w:ascii="Times New Roman" w:eastAsia="宋体" w:cs="Times New Roman"/>
                <w:bCs/>
                <w:sz w:val="21"/>
                <w:szCs w:val="21"/>
              </w:rPr>
            </w:pPr>
            <w:r>
              <w:rPr>
                <w:rFonts w:hint="eastAsia" w:ascii="宋体" w:hAnsi="宋体" w:eastAsia="宋体" w:cs="宋体"/>
                <w:bCs/>
                <w:sz w:val="21"/>
                <w:szCs w:val="21"/>
              </w:rPr>
              <w:t>⑥</w:t>
            </w:r>
            <w:r>
              <w:rPr>
                <w:rFonts w:ascii="Times New Roman" w:eastAsia="宋体" w:cs="Times New Roman"/>
                <w:bCs/>
                <w:sz w:val="21"/>
                <w:szCs w:val="21"/>
              </w:rPr>
              <w:t>发布实验课任务单，并反思。</w:t>
            </w:r>
          </w:p>
          <w:p>
            <w:pPr>
              <w:pStyle w:val="48"/>
              <w:spacing w:line="288" w:lineRule="auto"/>
              <w:jc w:val="both"/>
              <w:rPr>
                <w:rFonts w:ascii="Times New Roman" w:eastAsia="宋体" w:cs="Times New Roman"/>
                <w:bCs/>
                <w:sz w:val="21"/>
                <w:szCs w:val="21"/>
              </w:rPr>
            </w:pPr>
            <w:r>
              <w:rPr>
                <w:rFonts w:ascii="Times New Roman" w:eastAsia="宋体" w:cs="Times New Roman"/>
                <w:bCs/>
                <w:sz w:val="21"/>
                <w:szCs w:val="21"/>
              </w:rPr>
              <w:t>2、学生任务</w:t>
            </w:r>
          </w:p>
          <w:p>
            <w:pPr>
              <w:pStyle w:val="48"/>
              <w:spacing w:line="288" w:lineRule="auto"/>
              <w:jc w:val="both"/>
              <w:rPr>
                <w:rFonts w:ascii="Times New Roman" w:eastAsia="宋体" w:cs="Times New Roman"/>
                <w:bCs/>
                <w:sz w:val="21"/>
                <w:szCs w:val="21"/>
              </w:rPr>
            </w:pPr>
            <w:r>
              <w:rPr>
                <w:rFonts w:hint="eastAsia" w:ascii="宋体" w:hAnsi="宋体" w:eastAsia="宋体" w:cs="宋体"/>
                <w:bCs/>
                <w:sz w:val="21"/>
                <w:szCs w:val="21"/>
              </w:rPr>
              <w:t>①</w:t>
            </w:r>
            <w:r>
              <w:rPr>
                <w:rFonts w:ascii="Times New Roman" w:eastAsia="宋体" w:cs="Times New Roman"/>
                <w:bCs/>
                <w:sz w:val="21"/>
                <w:szCs w:val="21"/>
              </w:rPr>
              <w:t>课前观看FIF平台视频与课件；</w:t>
            </w:r>
          </w:p>
          <w:p>
            <w:pPr>
              <w:pStyle w:val="48"/>
              <w:spacing w:line="288" w:lineRule="auto"/>
              <w:jc w:val="both"/>
              <w:rPr>
                <w:rFonts w:ascii="Times New Roman" w:eastAsia="宋体" w:cs="Times New Roman"/>
                <w:bCs/>
                <w:sz w:val="21"/>
                <w:szCs w:val="21"/>
              </w:rPr>
            </w:pPr>
            <w:r>
              <w:rPr>
                <w:rFonts w:hint="eastAsia" w:ascii="宋体" w:hAnsi="宋体" w:eastAsia="宋体" w:cs="宋体"/>
                <w:bCs/>
                <w:sz w:val="21"/>
                <w:szCs w:val="21"/>
              </w:rPr>
              <w:t>②</w:t>
            </w:r>
            <w:r>
              <w:rPr>
                <w:rFonts w:ascii="Times New Roman" w:eastAsia="宋体" w:cs="Times New Roman"/>
                <w:bCs/>
                <w:sz w:val="21"/>
                <w:szCs w:val="21"/>
              </w:rPr>
              <w:t>课中学生上台演示报价核算过程；</w:t>
            </w:r>
          </w:p>
          <w:p>
            <w:pPr>
              <w:pStyle w:val="48"/>
              <w:spacing w:line="288" w:lineRule="auto"/>
              <w:jc w:val="both"/>
              <w:rPr>
                <w:rFonts w:ascii="Times New Roman" w:eastAsia="宋体" w:cs="Times New Roman"/>
                <w:bCs/>
                <w:snapToGrid w:val="0"/>
                <w:color w:val="auto"/>
                <w:kern w:val="2"/>
                <w:sz w:val="21"/>
                <w:szCs w:val="21"/>
              </w:rPr>
            </w:pPr>
            <w:r>
              <w:rPr>
                <w:rFonts w:hint="eastAsia" w:ascii="宋体" w:hAnsi="宋体" w:eastAsia="宋体" w:cs="宋体"/>
                <w:bCs/>
                <w:sz w:val="21"/>
                <w:szCs w:val="21"/>
              </w:rPr>
              <w:t>③</w:t>
            </w:r>
            <w:r>
              <w:rPr>
                <w:rFonts w:ascii="Times New Roman" w:eastAsia="宋体" w:cs="Times New Roman"/>
                <w:bCs/>
                <w:sz w:val="21"/>
                <w:szCs w:val="21"/>
              </w:rPr>
              <w:t>课后完成在线测试题，并做好学习笔记。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28" w:type="dxa"/>
            <w:bottom w:w="28" w:type="dxa"/>
            <w:right w:w="28" w:type="dxa"/>
          </w:tblCellMar>
        </w:tblPrEx>
        <w:trPr>
          <w:trHeight w:val="20" w:hRule="atLeast"/>
          <w:jc w:val="center"/>
        </w:trPr>
        <w:tc>
          <w:tcPr>
            <w:tcW w:w="0" w:type="auto"/>
            <w:tcMar>
              <w:top w:w="57" w:type="dxa"/>
              <w:bottom w:w="57" w:type="dxa"/>
            </w:tcMar>
            <w:vAlign w:val="center"/>
          </w:tcPr>
          <w:p>
            <w:pPr>
              <w:spacing w:line="288" w:lineRule="auto"/>
              <w:jc w:val="center"/>
              <w:rPr>
                <w:rFonts w:ascii="Times New Roman" w:hAnsi="Times New Roman" w:eastAsia="宋体" w:cs="Times New Roman"/>
                <w:bCs/>
                <w:snapToGrid w:val="0"/>
                <w:szCs w:val="21"/>
              </w:rPr>
            </w:pPr>
            <w:r>
              <w:rPr>
                <w:rFonts w:ascii="Times New Roman" w:hAnsi="Times New Roman" w:eastAsia="宋体" w:cs="Times New Roman"/>
                <w:bCs/>
                <w:snapToGrid w:val="0"/>
                <w:szCs w:val="21"/>
              </w:rPr>
              <w:t>5</w:t>
            </w:r>
          </w:p>
        </w:tc>
        <w:tc>
          <w:tcPr>
            <w:tcW w:w="890" w:type="dxa"/>
            <w:vAlign w:val="center"/>
          </w:tcPr>
          <w:p>
            <w:pPr>
              <w:spacing w:line="288" w:lineRule="auto"/>
              <w:rPr>
                <w:rFonts w:ascii="Times New Roman" w:hAnsi="Times New Roman" w:eastAsia="宋体" w:cs="Times New Roman"/>
                <w:bCs/>
                <w:snapToGrid w:val="0"/>
                <w:szCs w:val="21"/>
              </w:rPr>
            </w:pPr>
            <w:r>
              <w:rPr>
                <w:rFonts w:ascii="Times New Roman" w:hAnsi="Times New Roman" w:eastAsia="宋体" w:cs="Times New Roman"/>
                <w:bCs/>
                <w:snapToGrid w:val="0"/>
                <w:szCs w:val="21"/>
              </w:rPr>
              <w:t>实验三</w:t>
            </w:r>
          </w:p>
        </w:tc>
        <w:tc>
          <w:tcPr>
            <w:tcW w:w="3544" w:type="dxa"/>
            <w:tcMar>
              <w:top w:w="57" w:type="dxa"/>
              <w:bottom w:w="57" w:type="dxa"/>
            </w:tcMar>
            <w:vAlign w:val="center"/>
          </w:tcPr>
          <w:p>
            <w:pPr>
              <w:spacing w:line="288" w:lineRule="auto"/>
              <w:rPr>
                <w:rFonts w:ascii="Times New Roman" w:hAnsi="Times New Roman" w:eastAsia="宋体" w:cs="Times New Roman"/>
                <w:bCs/>
                <w:snapToGrid w:val="0"/>
                <w:szCs w:val="21"/>
              </w:rPr>
            </w:pPr>
            <w:r>
              <w:rPr>
                <w:rFonts w:ascii="Times New Roman" w:hAnsi="Times New Roman" w:eastAsia="宋体" w:cs="Times New Roman"/>
                <w:bCs/>
                <w:snapToGrid w:val="0"/>
                <w:szCs w:val="21"/>
              </w:rPr>
              <w:t>出口报价核算及发盘、还盘、接受</w:t>
            </w:r>
          </w:p>
        </w:tc>
        <w:tc>
          <w:tcPr>
            <w:tcW w:w="5103" w:type="dxa"/>
            <w:tcMar>
              <w:top w:w="57" w:type="dxa"/>
              <w:bottom w:w="57" w:type="dxa"/>
            </w:tcMar>
            <w:vAlign w:val="center"/>
          </w:tcPr>
          <w:p>
            <w:pPr>
              <w:spacing w:line="288" w:lineRule="auto"/>
              <w:rPr>
                <w:rFonts w:ascii="Times New Roman" w:hAnsi="Times New Roman" w:eastAsia="宋体" w:cs="Times New Roman"/>
                <w:bCs/>
                <w:snapToGrid w:val="0"/>
                <w:szCs w:val="21"/>
              </w:rPr>
            </w:pPr>
            <w:r>
              <w:rPr>
                <w:rFonts w:ascii="Times New Roman" w:hAnsi="Times New Roman" w:eastAsia="宋体" w:cs="Times New Roman"/>
                <w:bCs/>
                <w:snapToGrid w:val="0"/>
                <w:szCs w:val="21"/>
              </w:rPr>
              <w:t>1、教学重点</w:t>
            </w:r>
          </w:p>
          <w:p>
            <w:pPr>
              <w:pStyle w:val="6"/>
              <w:spacing w:line="288" w:lineRule="auto"/>
              <w:ind w:firstLine="0" w:firstLineChars="0"/>
              <w:rPr>
                <w:bCs/>
                <w:sz w:val="21"/>
                <w:szCs w:val="21"/>
              </w:rPr>
            </w:pPr>
            <w:r>
              <w:rPr>
                <w:rFonts w:hint="eastAsia" w:ascii="宋体" w:hAnsi="宋体" w:cs="宋体"/>
                <w:bCs/>
                <w:sz w:val="21"/>
                <w:szCs w:val="21"/>
              </w:rPr>
              <w:t>①</w:t>
            </w:r>
            <w:r>
              <w:rPr>
                <w:bCs/>
                <w:sz w:val="21"/>
                <w:szCs w:val="21"/>
              </w:rPr>
              <w:t>交易磋商环节中发盘、还盘与接受主要内容；</w:t>
            </w:r>
          </w:p>
          <w:p>
            <w:pPr>
              <w:pStyle w:val="6"/>
              <w:spacing w:line="288" w:lineRule="auto"/>
              <w:ind w:firstLine="0" w:firstLineChars="0"/>
              <w:rPr>
                <w:bCs/>
                <w:sz w:val="21"/>
                <w:szCs w:val="21"/>
              </w:rPr>
            </w:pPr>
            <w:r>
              <w:rPr>
                <w:rFonts w:hint="eastAsia" w:ascii="宋体" w:hAnsi="宋体" w:cs="宋体"/>
                <w:bCs/>
                <w:sz w:val="21"/>
                <w:szCs w:val="21"/>
              </w:rPr>
              <w:t>②</w:t>
            </w:r>
            <w:r>
              <w:rPr>
                <w:bCs/>
                <w:sz w:val="21"/>
                <w:szCs w:val="21"/>
              </w:rPr>
              <w:t>正确订立合同价格条款；</w:t>
            </w:r>
          </w:p>
          <w:p>
            <w:pPr>
              <w:pStyle w:val="6"/>
              <w:spacing w:line="288" w:lineRule="auto"/>
              <w:ind w:firstLine="0" w:firstLineChars="0"/>
              <w:rPr>
                <w:bCs/>
                <w:sz w:val="21"/>
                <w:szCs w:val="21"/>
              </w:rPr>
            </w:pPr>
            <w:r>
              <w:rPr>
                <w:rFonts w:hint="eastAsia" w:ascii="宋体" w:hAnsi="宋体" w:cs="宋体"/>
                <w:bCs/>
                <w:sz w:val="21"/>
                <w:szCs w:val="21"/>
              </w:rPr>
              <w:t>③</w:t>
            </w:r>
            <w:r>
              <w:rPr>
                <w:bCs/>
                <w:sz w:val="21"/>
                <w:szCs w:val="21"/>
              </w:rPr>
              <w:t>明确发盘、还盘、接受的写作步骤与表达方式。</w:t>
            </w:r>
          </w:p>
          <w:p>
            <w:pPr>
              <w:spacing w:line="288" w:lineRule="auto"/>
              <w:rPr>
                <w:rFonts w:ascii="Times New Roman" w:hAnsi="Times New Roman" w:eastAsia="宋体" w:cs="Times New Roman"/>
                <w:bCs/>
                <w:snapToGrid w:val="0"/>
                <w:szCs w:val="21"/>
              </w:rPr>
            </w:pPr>
            <w:r>
              <w:rPr>
                <w:rFonts w:ascii="Times New Roman" w:hAnsi="Times New Roman" w:eastAsia="宋体" w:cs="Times New Roman"/>
                <w:bCs/>
                <w:snapToGrid w:val="0"/>
                <w:szCs w:val="21"/>
              </w:rPr>
              <w:t>2、教学难点</w:t>
            </w:r>
          </w:p>
          <w:p>
            <w:pPr>
              <w:pStyle w:val="6"/>
              <w:spacing w:line="288" w:lineRule="auto"/>
              <w:ind w:firstLine="0" w:firstLineChars="0"/>
              <w:rPr>
                <w:bCs/>
                <w:sz w:val="21"/>
                <w:szCs w:val="21"/>
              </w:rPr>
            </w:pPr>
            <w:r>
              <w:rPr>
                <w:rFonts w:hint="eastAsia" w:ascii="宋体" w:hAnsi="宋体" w:cs="宋体"/>
                <w:bCs/>
                <w:sz w:val="21"/>
                <w:szCs w:val="21"/>
              </w:rPr>
              <w:t>①</w:t>
            </w:r>
            <w:r>
              <w:rPr>
                <w:bCs/>
                <w:sz w:val="21"/>
                <w:szCs w:val="21"/>
              </w:rPr>
              <w:t>对选定商品进行报价、还价核算；</w:t>
            </w:r>
          </w:p>
          <w:p>
            <w:pPr>
              <w:pStyle w:val="6"/>
              <w:spacing w:line="288" w:lineRule="auto"/>
              <w:ind w:firstLine="0" w:firstLineChars="0"/>
              <w:rPr>
                <w:bCs/>
                <w:sz w:val="21"/>
                <w:szCs w:val="21"/>
              </w:rPr>
            </w:pPr>
            <w:r>
              <w:rPr>
                <w:rFonts w:hint="eastAsia" w:ascii="宋体" w:hAnsi="宋体" w:cs="宋体"/>
                <w:bCs/>
                <w:sz w:val="21"/>
                <w:szCs w:val="21"/>
              </w:rPr>
              <w:t>②</w:t>
            </w:r>
            <w:r>
              <w:rPr>
                <w:bCs/>
                <w:sz w:val="21"/>
                <w:szCs w:val="21"/>
              </w:rPr>
              <w:t>与客户达成交易磋商意见；</w:t>
            </w:r>
          </w:p>
          <w:p>
            <w:pPr>
              <w:pStyle w:val="6"/>
              <w:spacing w:line="288" w:lineRule="auto"/>
              <w:ind w:firstLine="0" w:firstLineChars="0"/>
              <w:rPr>
                <w:bCs/>
                <w:sz w:val="21"/>
                <w:szCs w:val="21"/>
              </w:rPr>
            </w:pPr>
            <w:r>
              <w:rPr>
                <w:rFonts w:hint="eastAsia" w:ascii="宋体" w:hAnsi="宋体" w:cs="宋体"/>
                <w:bCs/>
                <w:sz w:val="21"/>
                <w:szCs w:val="21"/>
              </w:rPr>
              <w:t>④</w:t>
            </w:r>
            <w:r>
              <w:rPr>
                <w:bCs/>
                <w:sz w:val="21"/>
                <w:szCs w:val="21"/>
              </w:rPr>
              <w:t>课程思政：有理有节、谈判礼仪。</w:t>
            </w:r>
          </w:p>
          <w:p>
            <w:pPr>
              <w:spacing w:line="288" w:lineRule="auto"/>
              <w:rPr>
                <w:rFonts w:ascii="Times New Roman" w:hAnsi="Times New Roman" w:eastAsia="宋体" w:cs="Times New Roman"/>
                <w:bCs/>
                <w:snapToGrid w:val="0"/>
                <w:szCs w:val="21"/>
              </w:rPr>
            </w:pPr>
            <w:r>
              <w:rPr>
                <w:rFonts w:ascii="Times New Roman" w:hAnsi="Times New Roman" w:eastAsia="宋体" w:cs="Times New Roman"/>
                <w:bCs/>
                <w:snapToGrid w:val="0"/>
                <w:szCs w:val="21"/>
              </w:rPr>
              <w:t>3、教学方法：</w:t>
            </w:r>
            <w:r>
              <w:rPr>
                <w:rFonts w:ascii="Times New Roman" w:hAnsi="Times New Roman" w:eastAsia="宋体" w:cs="Times New Roman"/>
                <w:bCs/>
                <w:color w:val="000000"/>
                <w:kern w:val="0"/>
                <w:szCs w:val="21"/>
              </w:rPr>
              <w:t>讲授、实验、角色扮演、多媒体演示。</w:t>
            </w:r>
          </w:p>
        </w:tc>
        <w:tc>
          <w:tcPr>
            <w:tcW w:w="3864" w:type="dxa"/>
            <w:tcMar>
              <w:top w:w="57" w:type="dxa"/>
              <w:bottom w:w="57" w:type="dxa"/>
            </w:tcMar>
            <w:vAlign w:val="center"/>
          </w:tcPr>
          <w:p>
            <w:pPr>
              <w:pStyle w:val="48"/>
              <w:spacing w:line="288" w:lineRule="auto"/>
              <w:jc w:val="both"/>
              <w:rPr>
                <w:rFonts w:ascii="Times New Roman" w:eastAsia="宋体" w:cs="Times New Roman"/>
                <w:bCs/>
                <w:sz w:val="21"/>
                <w:szCs w:val="21"/>
              </w:rPr>
            </w:pPr>
            <w:r>
              <w:rPr>
                <w:rFonts w:ascii="Times New Roman" w:eastAsia="宋体" w:cs="Times New Roman"/>
                <w:bCs/>
                <w:sz w:val="21"/>
                <w:szCs w:val="21"/>
              </w:rPr>
              <w:t>1、教师任务</w:t>
            </w:r>
          </w:p>
          <w:p>
            <w:pPr>
              <w:pStyle w:val="48"/>
              <w:spacing w:line="288" w:lineRule="auto"/>
              <w:jc w:val="both"/>
              <w:rPr>
                <w:rFonts w:ascii="Times New Roman" w:eastAsia="宋体" w:cs="Times New Roman"/>
                <w:bCs/>
                <w:sz w:val="21"/>
                <w:szCs w:val="21"/>
              </w:rPr>
            </w:pPr>
            <w:r>
              <w:rPr>
                <w:rFonts w:hint="eastAsia" w:ascii="宋体" w:hAnsi="宋体" w:eastAsia="宋体" w:cs="宋体"/>
                <w:bCs/>
                <w:sz w:val="21"/>
                <w:szCs w:val="21"/>
              </w:rPr>
              <w:t>①</w:t>
            </w:r>
            <w:r>
              <w:rPr>
                <w:rFonts w:ascii="Times New Roman" w:eastAsia="宋体" w:cs="Times New Roman"/>
                <w:bCs/>
                <w:sz w:val="21"/>
                <w:szCs w:val="21"/>
              </w:rPr>
              <w:t>介绍实验安排与实验目的；</w:t>
            </w:r>
          </w:p>
          <w:p>
            <w:pPr>
              <w:pStyle w:val="48"/>
              <w:spacing w:line="288" w:lineRule="auto"/>
              <w:jc w:val="both"/>
              <w:rPr>
                <w:rFonts w:ascii="Times New Roman" w:eastAsia="宋体" w:cs="Times New Roman"/>
                <w:bCs/>
                <w:sz w:val="21"/>
                <w:szCs w:val="21"/>
              </w:rPr>
            </w:pPr>
            <w:r>
              <w:rPr>
                <w:rFonts w:hint="eastAsia" w:ascii="宋体" w:hAnsi="宋体" w:eastAsia="宋体" w:cs="宋体"/>
                <w:bCs/>
                <w:sz w:val="21"/>
                <w:szCs w:val="21"/>
              </w:rPr>
              <w:t>②</w:t>
            </w:r>
            <w:r>
              <w:rPr>
                <w:rFonts w:ascii="Times New Roman" w:eastAsia="宋体" w:cs="Times New Roman"/>
                <w:bCs/>
                <w:sz w:val="21"/>
                <w:szCs w:val="21"/>
              </w:rPr>
              <w:t>组织学生角色扮演，按前期实验内容，对确定的商品进行报价、还价核算及交易磋商。</w:t>
            </w:r>
          </w:p>
          <w:p>
            <w:pPr>
              <w:pStyle w:val="48"/>
              <w:spacing w:line="288" w:lineRule="auto"/>
              <w:jc w:val="both"/>
              <w:rPr>
                <w:rFonts w:ascii="Times New Roman" w:eastAsia="宋体" w:cs="Times New Roman"/>
                <w:bCs/>
                <w:sz w:val="21"/>
                <w:szCs w:val="21"/>
              </w:rPr>
            </w:pPr>
            <w:r>
              <w:rPr>
                <w:rFonts w:ascii="Times New Roman" w:eastAsia="宋体" w:cs="Times New Roman"/>
                <w:bCs/>
                <w:sz w:val="21"/>
                <w:szCs w:val="21"/>
              </w:rPr>
              <w:t>2、学生任务</w:t>
            </w:r>
          </w:p>
          <w:p>
            <w:pPr>
              <w:pStyle w:val="48"/>
              <w:spacing w:line="288" w:lineRule="auto"/>
              <w:jc w:val="both"/>
              <w:rPr>
                <w:rFonts w:ascii="Times New Roman" w:eastAsia="宋体" w:cs="Times New Roman"/>
                <w:bCs/>
                <w:sz w:val="21"/>
                <w:szCs w:val="21"/>
              </w:rPr>
            </w:pPr>
            <w:r>
              <w:rPr>
                <w:rFonts w:hint="eastAsia" w:ascii="宋体" w:hAnsi="宋体" w:eastAsia="宋体" w:cs="宋体"/>
                <w:bCs/>
                <w:sz w:val="21"/>
                <w:szCs w:val="21"/>
              </w:rPr>
              <w:t>①</w:t>
            </w:r>
            <w:r>
              <w:rPr>
                <w:rFonts w:ascii="Times New Roman" w:eastAsia="宋体" w:cs="Times New Roman"/>
                <w:bCs/>
                <w:sz w:val="21"/>
                <w:szCs w:val="21"/>
              </w:rPr>
              <w:t>课前完成理论知识复习；</w:t>
            </w:r>
          </w:p>
          <w:p>
            <w:pPr>
              <w:pStyle w:val="48"/>
              <w:spacing w:line="288" w:lineRule="auto"/>
              <w:jc w:val="both"/>
              <w:rPr>
                <w:rFonts w:ascii="Times New Roman" w:eastAsia="宋体" w:cs="Times New Roman"/>
                <w:bCs/>
                <w:sz w:val="21"/>
                <w:szCs w:val="21"/>
              </w:rPr>
            </w:pPr>
            <w:r>
              <w:rPr>
                <w:rFonts w:hint="eastAsia" w:ascii="宋体" w:hAnsi="宋体" w:eastAsia="宋体" w:cs="宋体"/>
                <w:bCs/>
                <w:sz w:val="21"/>
                <w:szCs w:val="21"/>
              </w:rPr>
              <w:t>②</w:t>
            </w:r>
            <w:r>
              <w:rPr>
                <w:rFonts w:ascii="Times New Roman" w:eastAsia="宋体" w:cs="Times New Roman"/>
                <w:bCs/>
                <w:sz w:val="21"/>
                <w:szCs w:val="21"/>
              </w:rPr>
              <w:t>以进出口商角色进行模拟；</w:t>
            </w:r>
          </w:p>
          <w:p>
            <w:pPr>
              <w:pStyle w:val="48"/>
              <w:spacing w:line="288" w:lineRule="auto"/>
              <w:jc w:val="both"/>
              <w:rPr>
                <w:rFonts w:ascii="Times New Roman" w:eastAsia="宋体" w:cs="Times New Roman"/>
                <w:bCs/>
                <w:snapToGrid w:val="0"/>
                <w:color w:val="auto"/>
                <w:kern w:val="2"/>
                <w:sz w:val="21"/>
                <w:szCs w:val="21"/>
              </w:rPr>
            </w:pPr>
            <w:r>
              <w:rPr>
                <w:rFonts w:hint="eastAsia" w:ascii="宋体" w:hAnsi="宋体" w:eastAsia="宋体" w:cs="宋体"/>
                <w:bCs/>
                <w:sz w:val="21"/>
                <w:szCs w:val="21"/>
              </w:rPr>
              <w:t>③</w:t>
            </w:r>
            <w:r>
              <w:rPr>
                <w:rFonts w:ascii="Times New Roman" w:eastAsia="宋体" w:cs="Times New Roman"/>
                <w:bCs/>
                <w:sz w:val="21"/>
                <w:szCs w:val="21"/>
              </w:rPr>
              <w:t>做汇总思维导图，做好学习笔记，撰写实验报告。</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28" w:type="dxa"/>
            <w:bottom w:w="28" w:type="dxa"/>
            <w:right w:w="28" w:type="dxa"/>
          </w:tblCellMar>
        </w:tblPrEx>
        <w:trPr>
          <w:trHeight w:val="20" w:hRule="atLeast"/>
          <w:jc w:val="center"/>
        </w:trPr>
        <w:tc>
          <w:tcPr>
            <w:tcW w:w="0" w:type="auto"/>
            <w:tcMar>
              <w:top w:w="57" w:type="dxa"/>
              <w:bottom w:w="57" w:type="dxa"/>
            </w:tcMar>
            <w:vAlign w:val="center"/>
          </w:tcPr>
          <w:p>
            <w:pPr>
              <w:spacing w:line="288" w:lineRule="auto"/>
              <w:jc w:val="center"/>
              <w:rPr>
                <w:rFonts w:ascii="Times New Roman" w:hAnsi="Times New Roman" w:eastAsia="宋体" w:cs="Times New Roman"/>
                <w:bCs/>
                <w:snapToGrid w:val="0"/>
                <w:szCs w:val="21"/>
              </w:rPr>
            </w:pPr>
            <w:r>
              <w:rPr>
                <w:rFonts w:ascii="Times New Roman" w:hAnsi="Times New Roman" w:eastAsia="宋体" w:cs="Times New Roman"/>
                <w:bCs/>
                <w:snapToGrid w:val="0"/>
                <w:szCs w:val="21"/>
              </w:rPr>
              <w:t>6</w:t>
            </w:r>
          </w:p>
        </w:tc>
        <w:tc>
          <w:tcPr>
            <w:tcW w:w="890" w:type="dxa"/>
            <w:vAlign w:val="center"/>
          </w:tcPr>
          <w:p>
            <w:pPr>
              <w:spacing w:line="288" w:lineRule="auto"/>
              <w:jc w:val="center"/>
              <w:rPr>
                <w:rFonts w:ascii="Times New Roman" w:hAnsi="Times New Roman" w:eastAsia="宋体" w:cs="Times New Roman"/>
                <w:bCs/>
                <w:snapToGrid w:val="0"/>
                <w:szCs w:val="21"/>
              </w:rPr>
            </w:pPr>
            <w:r>
              <w:rPr>
                <w:rFonts w:ascii="Times New Roman" w:hAnsi="Times New Roman" w:eastAsia="宋体" w:cs="Times New Roman"/>
                <w:bCs/>
                <w:snapToGrid w:val="0"/>
                <w:szCs w:val="21"/>
              </w:rPr>
              <w:t>第四章</w:t>
            </w:r>
          </w:p>
          <w:p>
            <w:pPr>
              <w:spacing w:line="288" w:lineRule="auto"/>
              <w:jc w:val="center"/>
              <w:rPr>
                <w:rFonts w:ascii="Times New Roman" w:hAnsi="Times New Roman" w:eastAsia="宋体" w:cs="Times New Roman"/>
                <w:bCs/>
                <w:szCs w:val="21"/>
              </w:rPr>
            </w:pPr>
            <w:r>
              <w:rPr>
                <w:rFonts w:ascii="Times New Roman" w:hAnsi="Times New Roman" w:eastAsia="宋体" w:cs="Times New Roman"/>
                <w:bCs/>
                <w:snapToGrid w:val="0"/>
                <w:szCs w:val="21"/>
              </w:rPr>
              <w:t>国际货物运输</w:t>
            </w:r>
          </w:p>
        </w:tc>
        <w:tc>
          <w:tcPr>
            <w:tcW w:w="3544" w:type="dxa"/>
            <w:tcMar>
              <w:top w:w="57" w:type="dxa"/>
              <w:bottom w:w="57" w:type="dxa"/>
            </w:tcMar>
            <w:vAlign w:val="center"/>
          </w:tcPr>
          <w:p>
            <w:pPr>
              <w:spacing w:line="288" w:lineRule="auto"/>
              <w:rPr>
                <w:rFonts w:ascii="Times New Roman" w:hAnsi="Times New Roman" w:eastAsia="宋体" w:cs="Times New Roman"/>
                <w:bCs/>
                <w:snapToGrid w:val="0"/>
                <w:szCs w:val="21"/>
              </w:rPr>
            </w:pPr>
            <w:r>
              <w:rPr>
                <w:rFonts w:ascii="Times New Roman" w:hAnsi="Times New Roman" w:eastAsia="宋体" w:cs="Times New Roman"/>
                <w:bCs/>
                <w:snapToGrid w:val="0"/>
                <w:szCs w:val="21"/>
              </w:rPr>
              <w:t>1、运输方式</w:t>
            </w:r>
          </w:p>
          <w:p>
            <w:pPr>
              <w:spacing w:line="288" w:lineRule="auto"/>
              <w:rPr>
                <w:rFonts w:ascii="Times New Roman" w:hAnsi="Times New Roman" w:eastAsia="宋体" w:cs="Times New Roman"/>
                <w:bCs/>
                <w:snapToGrid w:val="0"/>
                <w:szCs w:val="21"/>
              </w:rPr>
            </w:pPr>
            <w:r>
              <w:rPr>
                <w:rFonts w:ascii="Times New Roman" w:hAnsi="Times New Roman" w:eastAsia="宋体" w:cs="Times New Roman"/>
                <w:bCs/>
                <w:snapToGrid w:val="0"/>
                <w:szCs w:val="21"/>
              </w:rPr>
              <w:t>2、国际货物运输买卖合同中的装运条款</w:t>
            </w:r>
          </w:p>
          <w:p>
            <w:pPr>
              <w:spacing w:line="288" w:lineRule="auto"/>
              <w:rPr>
                <w:rFonts w:ascii="Times New Roman" w:hAnsi="Times New Roman" w:eastAsia="宋体" w:cs="Times New Roman"/>
                <w:bCs/>
                <w:snapToGrid w:val="0"/>
                <w:szCs w:val="21"/>
              </w:rPr>
            </w:pPr>
            <w:r>
              <w:rPr>
                <w:rFonts w:ascii="Times New Roman" w:hAnsi="Times New Roman" w:eastAsia="宋体" w:cs="Times New Roman"/>
                <w:bCs/>
                <w:snapToGrid w:val="0"/>
                <w:szCs w:val="21"/>
              </w:rPr>
              <w:t>3、运输单据</w:t>
            </w:r>
          </w:p>
        </w:tc>
        <w:tc>
          <w:tcPr>
            <w:tcW w:w="5103" w:type="dxa"/>
            <w:tcMar>
              <w:top w:w="57" w:type="dxa"/>
              <w:bottom w:w="57" w:type="dxa"/>
            </w:tcMar>
            <w:vAlign w:val="center"/>
          </w:tcPr>
          <w:p>
            <w:pPr>
              <w:spacing w:line="288" w:lineRule="auto"/>
              <w:rPr>
                <w:rFonts w:ascii="Times New Roman" w:hAnsi="Times New Roman" w:eastAsia="宋体" w:cs="Times New Roman"/>
                <w:bCs/>
                <w:snapToGrid w:val="0"/>
                <w:szCs w:val="21"/>
              </w:rPr>
            </w:pPr>
            <w:r>
              <w:rPr>
                <w:rFonts w:ascii="Times New Roman" w:hAnsi="Times New Roman" w:eastAsia="宋体" w:cs="Times New Roman"/>
                <w:bCs/>
                <w:snapToGrid w:val="0"/>
                <w:szCs w:val="21"/>
              </w:rPr>
              <w:t>1、教学重点</w:t>
            </w:r>
          </w:p>
          <w:p>
            <w:pPr>
              <w:pStyle w:val="6"/>
              <w:spacing w:line="288" w:lineRule="auto"/>
              <w:ind w:firstLine="0" w:firstLineChars="0"/>
              <w:rPr>
                <w:bCs/>
                <w:sz w:val="21"/>
                <w:szCs w:val="21"/>
              </w:rPr>
            </w:pPr>
            <w:r>
              <w:rPr>
                <w:rFonts w:hint="eastAsia" w:ascii="宋体" w:hAnsi="宋体" w:cs="宋体"/>
                <w:bCs/>
                <w:sz w:val="21"/>
                <w:szCs w:val="21"/>
              </w:rPr>
              <w:t>①</w:t>
            </w:r>
            <w:r>
              <w:rPr>
                <w:bCs/>
                <w:sz w:val="21"/>
                <w:szCs w:val="21"/>
              </w:rPr>
              <w:t>了解国际货物运输的主要方式；</w:t>
            </w:r>
          </w:p>
          <w:p>
            <w:pPr>
              <w:pStyle w:val="6"/>
              <w:spacing w:line="288" w:lineRule="auto"/>
              <w:ind w:firstLine="0" w:firstLineChars="0"/>
              <w:rPr>
                <w:bCs/>
                <w:sz w:val="21"/>
                <w:szCs w:val="21"/>
              </w:rPr>
            </w:pPr>
            <w:r>
              <w:rPr>
                <w:rFonts w:hint="eastAsia" w:ascii="宋体" w:hAnsi="宋体" w:cs="宋体"/>
                <w:bCs/>
                <w:sz w:val="21"/>
                <w:szCs w:val="21"/>
              </w:rPr>
              <w:t>②</w:t>
            </w:r>
            <w:r>
              <w:rPr>
                <w:bCs/>
                <w:sz w:val="21"/>
                <w:szCs w:val="21"/>
              </w:rPr>
              <w:t>介绍海洋运输船舶经营方式；</w:t>
            </w:r>
          </w:p>
          <w:p>
            <w:pPr>
              <w:pStyle w:val="6"/>
              <w:spacing w:line="288" w:lineRule="auto"/>
              <w:ind w:firstLine="0" w:firstLineChars="0"/>
              <w:rPr>
                <w:bCs/>
                <w:sz w:val="21"/>
                <w:szCs w:val="21"/>
              </w:rPr>
            </w:pPr>
            <w:r>
              <w:rPr>
                <w:rFonts w:hint="eastAsia" w:ascii="宋体" w:hAnsi="宋体" w:cs="宋体"/>
                <w:bCs/>
                <w:sz w:val="21"/>
                <w:szCs w:val="21"/>
              </w:rPr>
              <w:t>③</w:t>
            </w:r>
            <w:r>
              <w:rPr>
                <w:bCs/>
                <w:sz w:val="21"/>
                <w:szCs w:val="21"/>
              </w:rPr>
              <w:t>区分班轮运输与租船运输；</w:t>
            </w:r>
          </w:p>
          <w:p>
            <w:pPr>
              <w:pStyle w:val="6"/>
              <w:spacing w:line="288" w:lineRule="auto"/>
              <w:ind w:firstLine="0" w:firstLineChars="0"/>
              <w:rPr>
                <w:bCs/>
                <w:sz w:val="21"/>
                <w:szCs w:val="21"/>
              </w:rPr>
            </w:pPr>
            <w:r>
              <w:rPr>
                <w:rFonts w:hint="eastAsia" w:ascii="宋体" w:hAnsi="宋体" w:cs="宋体"/>
                <w:bCs/>
                <w:sz w:val="21"/>
                <w:szCs w:val="21"/>
              </w:rPr>
              <w:t>④</w:t>
            </w:r>
            <w:r>
              <w:rPr>
                <w:bCs/>
                <w:sz w:val="21"/>
                <w:szCs w:val="21"/>
              </w:rPr>
              <w:t>掌握装运条款的规定方法。</w:t>
            </w:r>
          </w:p>
          <w:p>
            <w:pPr>
              <w:spacing w:line="288" w:lineRule="auto"/>
              <w:rPr>
                <w:rFonts w:ascii="Times New Roman" w:hAnsi="Times New Roman" w:eastAsia="宋体" w:cs="Times New Roman"/>
                <w:bCs/>
                <w:snapToGrid w:val="0"/>
                <w:szCs w:val="21"/>
              </w:rPr>
            </w:pPr>
            <w:r>
              <w:rPr>
                <w:rFonts w:ascii="Times New Roman" w:hAnsi="Times New Roman" w:eastAsia="宋体" w:cs="Times New Roman"/>
                <w:bCs/>
                <w:snapToGrid w:val="0"/>
                <w:szCs w:val="21"/>
              </w:rPr>
              <w:t>2、教学难点</w:t>
            </w:r>
          </w:p>
          <w:p>
            <w:pPr>
              <w:pStyle w:val="6"/>
              <w:spacing w:line="288" w:lineRule="auto"/>
              <w:ind w:firstLine="0" w:firstLineChars="0"/>
              <w:rPr>
                <w:bCs/>
                <w:sz w:val="21"/>
                <w:szCs w:val="21"/>
              </w:rPr>
            </w:pPr>
            <w:r>
              <w:rPr>
                <w:rFonts w:hint="eastAsia" w:ascii="宋体" w:hAnsi="宋体" w:cs="宋体"/>
                <w:bCs/>
                <w:sz w:val="21"/>
                <w:szCs w:val="21"/>
              </w:rPr>
              <w:t>①</w:t>
            </w:r>
            <w:r>
              <w:rPr>
                <w:bCs/>
                <w:sz w:val="21"/>
                <w:szCs w:val="21"/>
              </w:rPr>
              <w:t>分析不同运输方式的优缺点；</w:t>
            </w:r>
          </w:p>
          <w:p>
            <w:pPr>
              <w:pStyle w:val="6"/>
              <w:spacing w:line="288" w:lineRule="auto"/>
              <w:ind w:firstLine="0" w:firstLineChars="0"/>
              <w:rPr>
                <w:bCs/>
                <w:sz w:val="21"/>
                <w:szCs w:val="21"/>
              </w:rPr>
            </w:pPr>
            <w:r>
              <w:rPr>
                <w:rFonts w:hint="eastAsia" w:ascii="宋体" w:hAnsi="宋体" w:cs="宋体"/>
                <w:bCs/>
                <w:sz w:val="21"/>
                <w:szCs w:val="21"/>
              </w:rPr>
              <w:t>②</w:t>
            </w:r>
            <w:r>
              <w:rPr>
                <w:bCs/>
                <w:sz w:val="21"/>
                <w:szCs w:val="21"/>
              </w:rPr>
              <w:t>介绍中欧班列现状；</w:t>
            </w:r>
          </w:p>
          <w:p>
            <w:pPr>
              <w:pStyle w:val="6"/>
              <w:spacing w:line="288" w:lineRule="auto"/>
              <w:ind w:firstLine="0" w:firstLineChars="0"/>
              <w:rPr>
                <w:bCs/>
                <w:sz w:val="21"/>
                <w:szCs w:val="21"/>
              </w:rPr>
            </w:pPr>
            <w:r>
              <w:rPr>
                <w:rFonts w:hint="eastAsia" w:ascii="宋体" w:hAnsi="宋体" w:cs="宋体"/>
                <w:bCs/>
                <w:sz w:val="21"/>
                <w:szCs w:val="21"/>
              </w:rPr>
              <w:t>③</w:t>
            </w:r>
            <w:r>
              <w:rPr>
                <w:bCs/>
                <w:sz w:val="21"/>
                <w:szCs w:val="21"/>
              </w:rPr>
              <w:t>掌握装运时间、分批装运、转运的规定方法；</w:t>
            </w:r>
          </w:p>
          <w:p>
            <w:pPr>
              <w:pStyle w:val="6"/>
              <w:spacing w:line="288" w:lineRule="auto"/>
              <w:ind w:firstLine="0" w:firstLineChars="0"/>
              <w:rPr>
                <w:bCs/>
                <w:sz w:val="21"/>
                <w:szCs w:val="21"/>
              </w:rPr>
            </w:pPr>
            <w:r>
              <w:rPr>
                <w:rFonts w:hint="eastAsia" w:ascii="宋体" w:hAnsi="宋体" w:cs="宋体"/>
                <w:bCs/>
                <w:sz w:val="21"/>
                <w:szCs w:val="21"/>
              </w:rPr>
              <w:t>④</w:t>
            </w:r>
            <w:r>
              <w:rPr>
                <w:bCs/>
                <w:sz w:val="21"/>
                <w:szCs w:val="21"/>
              </w:rPr>
              <w:t>明确运输单据的性质与作用、主要内容；</w:t>
            </w:r>
          </w:p>
          <w:p>
            <w:pPr>
              <w:pStyle w:val="6"/>
              <w:spacing w:line="288" w:lineRule="auto"/>
              <w:ind w:firstLine="0" w:firstLineChars="0"/>
              <w:rPr>
                <w:bCs/>
                <w:sz w:val="21"/>
                <w:szCs w:val="21"/>
              </w:rPr>
            </w:pPr>
            <w:r>
              <w:rPr>
                <w:rFonts w:hint="eastAsia" w:ascii="宋体" w:hAnsi="宋体" w:cs="宋体"/>
                <w:bCs/>
                <w:sz w:val="21"/>
                <w:szCs w:val="21"/>
              </w:rPr>
              <w:t>⑤</w:t>
            </w:r>
            <w:r>
              <w:rPr>
                <w:bCs/>
                <w:sz w:val="21"/>
                <w:szCs w:val="21"/>
              </w:rPr>
              <w:t>课程思政：中国港口发展速度、中欧班列、工匠精神。</w:t>
            </w:r>
          </w:p>
          <w:p>
            <w:pPr>
              <w:spacing w:line="288" w:lineRule="auto"/>
              <w:rPr>
                <w:rFonts w:ascii="Times New Roman" w:hAnsi="Times New Roman" w:eastAsia="宋体" w:cs="Times New Roman"/>
                <w:bCs/>
                <w:snapToGrid w:val="0"/>
                <w:szCs w:val="21"/>
              </w:rPr>
            </w:pPr>
            <w:r>
              <w:rPr>
                <w:rFonts w:ascii="Times New Roman" w:hAnsi="Times New Roman" w:eastAsia="宋体" w:cs="Times New Roman"/>
                <w:bCs/>
                <w:snapToGrid w:val="0"/>
                <w:szCs w:val="21"/>
              </w:rPr>
              <w:t>3、教学方法：线上资源平台、</w:t>
            </w:r>
            <w:r>
              <w:rPr>
                <w:rFonts w:ascii="Times New Roman" w:hAnsi="Times New Roman" w:eastAsia="宋体" w:cs="Times New Roman"/>
                <w:bCs/>
                <w:color w:val="000000"/>
                <w:kern w:val="0"/>
                <w:szCs w:val="21"/>
              </w:rPr>
              <w:t>讲授、交流讨论、案例分析、多媒体演示、板书。</w:t>
            </w:r>
          </w:p>
        </w:tc>
        <w:tc>
          <w:tcPr>
            <w:tcW w:w="3864" w:type="dxa"/>
            <w:tcMar>
              <w:top w:w="57" w:type="dxa"/>
              <w:bottom w:w="57" w:type="dxa"/>
            </w:tcMar>
            <w:vAlign w:val="center"/>
          </w:tcPr>
          <w:p>
            <w:pPr>
              <w:pStyle w:val="48"/>
              <w:spacing w:line="288" w:lineRule="auto"/>
              <w:jc w:val="both"/>
              <w:rPr>
                <w:rFonts w:ascii="Times New Roman" w:eastAsia="宋体" w:cs="Times New Roman"/>
                <w:bCs/>
                <w:sz w:val="21"/>
                <w:szCs w:val="21"/>
              </w:rPr>
            </w:pPr>
            <w:r>
              <w:rPr>
                <w:rFonts w:ascii="Times New Roman" w:eastAsia="宋体" w:cs="Times New Roman"/>
                <w:bCs/>
                <w:sz w:val="21"/>
                <w:szCs w:val="21"/>
              </w:rPr>
              <w:t>1、教师任务</w:t>
            </w:r>
          </w:p>
          <w:p>
            <w:pPr>
              <w:pStyle w:val="48"/>
              <w:spacing w:line="288" w:lineRule="auto"/>
              <w:jc w:val="both"/>
              <w:rPr>
                <w:rFonts w:ascii="Times New Roman" w:eastAsia="宋体" w:cs="Times New Roman"/>
                <w:bCs/>
                <w:sz w:val="21"/>
                <w:szCs w:val="21"/>
              </w:rPr>
            </w:pPr>
            <w:r>
              <w:rPr>
                <w:rFonts w:hint="eastAsia" w:ascii="宋体" w:hAnsi="宋体" w:eastAsia="宋体" w:cs="宋体"/>
                <w:bCs/>
                <w:sz w:val="21"/>
                <w:szCs w:val="21"/>
              </w:rPr>
              <w:t>①</w:t>
            </w:r>
            <w:r>
              <w:rPr>
                <w:rFonts w:ascii="Times New Roman" w:eastAsia="宋体" w:cs="Times New Roman"/>
                <w:bCs/>
                <w:sz w:val="21"/>
                <w:szCs w:val="21"/>
              </w:rPr>
              <w:t>课前发布视频和测试任务；</w:t>
            </w:r>
          </w:p>
          <w:p>
            <w:pPr>
              <w:pStyle w:val="48"/>
              <w:spacing w:line="288" w:lineRule="auto"/>
              <w:jc w:val="both"/>
              <w:rPr>
                <w:rFonts w:ascii="Times New Roman" w:eastAsia="宋体" w:cs="Times New Roman"/>
                <w:bCs/>
                <w:sz w:val="21"/>
                <w:szCs w:val="21"/>
              </w:rPr>
            </w:pPr>
            <w:r>
              <w:rPr>
                <w:rFonts w:hint="eastAsia" w:ascii="宋体" w:hAnsi="宋体" w:eastAsia="宋体" w:cs="宋体"/>
                <w:bCs/>
                <w:sz w:val="21"/>
                <w:szCs w:val="21"/>
              </w:rPr>
              <w:t>②</w:t>
            </w:r>
            <w:r>
              <w:rPr>
                <w:rFonts w:ascii="Times New Roman" w:eastAsia="宋体" w:cs="Times New Roman"/>
                <w:bCs/>
                <w:sz w:val="21"/>
                <w:szCs w:val="21"/>
              </w:rPr>
              <w:t>介绍本章节学习目标；</w:t>
            </w:r>
          </w:p>
          <w:p>
            <w:pPr>
              <w:pStyle w:val="48"/>
              <w:spacing w:line="288" w:lineRule="auto"/>
              <w:jc w:val="both"/>
              <w:rPr>
                <w:rFonts w:ascii="Times New Roman" w:eastAsia="宋体" w:cs="Times New Roman"/>
                <w:bCs/>
                <w:sz w:val="21"/>
                <w:szCs w:val="21"/>
              </w:rPr>
            </w:pPr>
            <w:r>
              <w:rPr>
                <w:rFonts w:hint="eastAsia" w:ascii="宋体" w:hAnsi="宋体" w:eastAsia="宋体" w:cs="宋体"/>
                <w:bCs/>
                <w:sz w:val="21"/>
                <w:szCs w:val="21"/>
              </w:rPr>
              <w:t>③</w:t>
            </w:r>
            <w:r>
              <w:rPr>
                <w:rFonts w:ascii="Times New Roman" w:eastAsia="宋体" w:cs="Times New Roman"/>
                <w:bCs/>
                <w:sz w:val="21"/>
                <w:szCs w:val="21"/>
              </w:rPr>
              <w:t>思考讨论题引出本章内容；</w:t>
            </w:r>
          </w:p>
          <w:p>
            <w:pPr>
              <w:pStyle w:val="48"/>
              <w:spacing w:line="288" w:lineRule="auto"/>
              <w:jc w:val="both"/>
              <w:rPr>
                <w:rFonts w:ascii="Times New Roman" w:eastAsia="宋体" w:cs="Times New Roman"/>
                <w:bCs/>
                <w:sz w:val="21"/>
                <w:szCs w:val="21"/>
              </w:rPr>
            </w:pPr>
            <w:r>
              <w:rPr>
                <w:rFonts w:hint="eastAsia" w:ascii="宋体" w:hAnsi="宋体" w:eastAsia="宋体" w:cs="宋体"/>
                <w:bCs/>
                <w:sz w:val="21"/>
                <w:szCs w:val="21"/>
              </w:rPr>
              <w:t>④</w:t>
            </w:r>
            <w:r>
              <w:rPr>
                <w:rFonts w:ascii="Times New Roman" w:eastAsia="宋体" w:cs="Times New Roman"/>
                <w:bCs/>
                <w:sz w:val="21"/>
                <w:szCs w:val="21"/>
              </w:rPr>
              <w:t>组织小组讨论：根据图片判断各产品采用何种运输方式最合适；图片展示港口作业；</w:t>
            </w:r>
          </w:p>
          <w:p>
            <w:pPr>
              <w:pStyle w:val="48"/>
              <w:spacing w:line="288" w:lineRule="auto"/>
              <w:jc w:val="both"/>
              <w:rPr>
                <w:rFonts w:ascii="Times New Roman" w:eastAsia="宋体" w:cs="Times New Roman"/>
                <w:bCs/>
                <w:sz w:val="21"/>
                <w:szCs w:val="21"/>
              </w:rPr>
            </w:pPr>
            <w:r>
              <w:rPr>
                <w:rFonts w:hint="eastAsia" w:ascii="宋体" w:hAnsi="宋体" w:eastAsia="宋体" w:cs="宋体"/>
                <w:bCs/>
                <w:sz w:val="21"/>
                <w:szCs w:val="21"/>
              </w:rPr>
              <w:t>⑤</w:t>
            </w:r>
            <w:r>
              <w:rPr>
                <w:rFonts w:ascii="Times New Roman" w:eastAsia="宋体" w:cs="Times New Roman"/>
                <w:bCs/>
                <w:sz w:val="21"/>
                <w:szCs w:val="21"/>
              </w:rPr>
              <w:t>发布下节课任务单，并反思。</w:t>
            </w:r>
          </w:p>
          <w:p>
            <w:pPr>
              <w:pStyle w:val="48"/>
              <w:spacing w:line="288" w:lineRule="auto"/>
              <w:jc w:val="both"/>
              <w:rPr>
                <w:rFonts w:ascii="Times New Roman" w:eastAsia="宋体" w:cs="Times New Roman"/>
                <w:bCs/>
                <w:sz w:val="21"/>
                <w:szCs w:val="21"/>
              </w:rPr>
            </w:pPr>
            <w:r>
              <w:rPr>
                <w:rFonts w:ascii="Times New Roman" w:eastAsia="宋体" w:cs="Times New Roman"/>
                <w:bCs/>
                <w:sz w:val="21"/>
                <w:szCs w:val="21"/>
              </w:rPr>
              <w:t>2、学生任务</w:t>
            </w:r>
          </w:p>
          <w:p>
            <w:pPr>
              <w:pStyle w:val="48"/>
              <w:spacing w:line="288" w:lineRule="auto"/>
              <w:jc w:val="both"/>
              <w:rPr>
                <w:rFonts w:ascii="Times New Roman" w:eastAsia="宋体" w:cs="Times New Roman"/>
                <w:bCs/>
                <w:sz w:val="21"/>
                <w:szCs w:val="21"/>
              </w:rPr>
            </w:pPr>
            <w:r>
              <w:rPr>
                <w:rFonts w:hint="eastAsia" w:ascii="宋体" w:hAnsi="宋体" w:eastAsia="宋体" w:cs="宋体"/>
                <w:bCs/>
                <w:sz w:val="21"/>
                <w:szCs w:val="21"/>
              </w:rPr>
              <w:t>①</w:t>
            </w:r>
            <w:r>
              <w:rPr>
                <w:rFonts w:ascii="Times New Roman" w:eastAsia="宋体" w:cs="Times New Roman"/>
                <w:bCs/>
                <w:sz w:val="21"/>
                <w:szCs w:val="21"/>
              </w:rPr>
              <w:t>课前观看视频与课件，完成在线测试；</w:t>
            </w:r>
          </w:p>
          <w:p>
            <w:pPr>
              <w:pStyle w:val="48"/>
              <w:spacing w:line="288" w:lineRule="auto"/>
              <w:jc w:val="both"/>
              <w:rPr>
                <w:rFonts w:ascii="Times New Roman" w:eastAsia="宋体" w:cs="Times New Roman"/>
                <w:bCs/>
                <w:sz w:val="21"/>
                <w:szCs w:val="21"/>
              </w:rPr>
            </w:pPr>
            <w:r>
              <w:rPr>
                <w:rFonts w:hint="eastAsia" w:ascii="宋体" w:hAnsi="宋体" w:eastAsia="宋体" w:cs="宋体"/>
                <w:bCs/>
                <w:sz w:val="21"/>
                <w:szCs w:val="21"/>
              </w:rPr>
              <w:t>②</w:t>
            </w:r>
            <w:r>
              <w:rPr>
                <w:rFonts w:ascii="Times New Roman" w:eastAsia="宋体" w:cs="Times New Roman"/>
                <w:bCs/>
                <w:sz w:val="21"/>
                <w:szCs w:val="21"/>
              </w:rPr>
              <w:t>小组讨论：选择运输方式时考虑的因素、汇报视频中的案例分析情况；</w:t>
            </w:r>
          </w:p>
          <w:p>
            <w:pPr>
              <w:pStyle w:val="48"/>
              <w:spacing w:line="288" w:lineRule="auto"/>
              <w:jc w:val="both"/>
              <w:rPr>
                <w:rFonts w:ascii="Times New Roman" w:eastAsia="宋体" w:cs="Times New Roman"/>
                <w:bCs/>
                <w:sz w:val="21"/>
                <w:szCs w:val="21"/>
              </w:rPr>
            </w:pPr>
            <w:r>
              <w:rPr>
                <w:rFonts w:hint="eastAsia" w:ascii="宋体" w:hAnsi="宋体" w:eastAsia="宋体" w:cs="宋体"/>
                <w:bCs/>
                <w:sz w:val="21"/>
                <w:szCs w:val="21"/>
              </w:rPr>
              <w:t>③</w:t>
            </w:r>
            <w:r>
              <w:rPr>
                <w:rFonts w:ascii="Times New Roman" w:eastAsia="宋体" w:cs="Times New Roman"/>
                <w:bCs/>
                <w:sz w:val="21"/>
                <w:szCs w:val="21"/>
              </w:rPr>
              <w:t>参与课中案例分析，交流互动；</w:t>
            </w:r>
          </w:p>
          <w:p>
            <w:pPr>
              <w:pStyle w:val="48"/>
              <w:spacing w:line="288" w:lineRule="auto"/>
              <w:rPr>
                <w:rFonts w:ascii="Times New Roman" w:eastAsia="宋体" w:cs="Times New Roman"/>
                <w:bCs/>
                <w:sz w:val="21"/>
                <w:szCs w:val="21"/>
              </w:rPr>
            </w:pPr>
            <w:r>
              <w:rPr>
                <w:rFonts w:hint="eastAsia" w:ascii="宋体" w:hAnsi="宋体" w:eastAsia="宋体" w:cs="宋体"/>
                <w:bCs/>
                <w:sz w:val="21"/>
                <w:szCs w:val="21"/>
              </w:rPr>
              <w:t>④</w:t>
            </w:r>
            <w:r>
              <w:rPr>
                <w:rFonts w:ascii="Times New Roman" w:eastAsia="宋体" w:cs="Times New Roman"/>
                <w:bCs/>
                <w:sz w:val="21"/>
                <w:szCs w:val="21"/>
              </w:rPr>
              <w:t>根据资料判断SHIPPER\CONSIGNEE\CARRIER；</w:t>
            </w:r>
          </w:p>
          <w:p>
            <w:pPr>
              <w:pStyle w:val="48"/>
              <w:spacing w:line="288" w:lineRule="auto"/>
              <w:jc w:val="both"/>
              <w:rPr>
                <w:rFonts w:ascii="Times New Roman" w:eastAsia="宋体" w:cs="Times New Roman"/>
                <w:bCs/>
                <w:sz w:val="21"/>
                <w:szCs w:val="21"/>
              </w:rPr>
            </w:pPr>
            <w:r>
              <w:rPr>
                <w:rFonts w:hint="eastAsia" w:ascii="宋体" w:hAnsi="宋体" w:eastAsia="宋体" w:cs="宋体"/>
                <w:bCs/>
                <w:sz w:val="21"/>
                <w:szCs w:val="21"/>
              </w:rPr>
              <w:t>⑤</w:t>
            </w:r>
            <w:r>
              <w:rPr>
                <w:rFonts w:ascii="Times New Roman" w:eastAsia="宋体" w:cs="Times New Roman"/>
                <w:bCs/>
                <w:sz w:val="21"/>
                <w:szCs w:val="21"/>
              </w:rPr>
              <w:t>课后观看纪录片：中国港口；</w:t>
            </w:r>
          </w:p>
          <w:p>
            <w:pPr>
              <w:pStyle w:val="48"/>
              <w:spacing w:line="288" w:lineRule="auto"/>
              <w:jc w:val="both"/>
              <w:rPr>
                <w:rFonts w:ascii="Times New Roman" w:eastAsia="宋体" w:cs="Times New Roman"/>
                <w:bCs/>
                <w:sz w:val="21"/>
                <w:szCs w:val="21"/>
              </w:rPr>
            </w:pPr>
            <w:r>
              <w:rPr>
                <w:rFonts w:hint="eastAsia" w:ascii="宋体" w:hAnsi="宋体" w:eastAsia="宋体" w:cs="宋体"/>
                <w:bCs/>
                <w:sz w:val="21"/>
                <w:szCs w:val="21"/>
              </w:rPr>
              <w:t>⑥</w:t>
            </w:r>
            <w:r>
              <w:rPr>
                <w:rFonts w:ascii="Times New Roman" w:eastAsia="宋体" w:cs="Times New Roman"/>
                <w:bCs/>
                <w:sz w:val="21"/>
                <w:szCs w:val="21"/>
              </w:rPr>
              <w:t>思维导图、做好学习笔记。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28" w:type="dxa"/>
            <w:bottom w:w="28" w:type="dxa"/>
            <w:right w:w="28" w:type="dxa"/>
          </w:tblCellMar>
        </w:tblPrEx>
        <w:trPr>
          <w:trHeight w:val="20" w:hRule="atLeast"/>
          <w:jc w:val="center"/>
        </w:trPr>
        <w:tc>
          <w:tcPr>
            <w:tcW w:w="0" w:type="auto"/>
            <w:tcMar>
              <w:top w:w="57" w:type="dxa"/>
              <w:bottom w:w="57" w:type="dxa"/>
            </w:tcMar>
            <w:vAlign w:val="center"/>
          </w:tcPr>
          <w:p>
            <w:pPr>
              <w:spacing w:line="288" w:lineRule="auto"/>
              <w:jc w:val="center"/>
              <w:rPr>
                <w:rFonts w:ascii="Times New Roman" w:hAnsi="Times New Roman" w:eastAsia="宋体" w:cs="Times New Roman"/>
                <w:bCs/>
                <w:snapToGrid w:val="0"/>
                <w:szCs w:val="21"/>
              </w:rPr>
            </w:pPr>
            <w:r>
              <w:rPr>
                <w:rFonts w:ascii="Times New Roman" w:hAnsi="Times New Roman" w:eastAsia="宋体" w:cs="Times New Roman"/>
                <w:bCs/>
                <w:snapToGrid w:val="0"/>
                <w:szCs w:val="21"/>
              </w:rPr>
              <w:t>7</w:t>
            </w:r>
          </w:p>
        </w:tc>
        <w:tc>
          <w:tcPr>
            <w:tcW w:w="890" w:type="dxa"/>
            <w:vAlign w:val="center"/>
          </w:tcPr>
          <w:p>
            <w:pPr>
              <w:spacing w:line="288" w:lineRule="auto"/>
              <w:jc w:val="center"/>
              <w:rPr>
                <w:rFonts w:ascii="Times New Roman" w:hAnsi="Times New Roman" w:eastAsia="宋体" w:cs="Times New Roman"/>
                <w:bCs/>
                <w:snapToGrid w:val="0"/>
                <w:szCs w:val="21"/>
              </w:rPr>
            </w:pPr>
            <w:r>
              <w:rPr>
                <w:rFonts w:ascii="Times New Roman" w:hAnsi="Times New Roman" w:eastAsia="宋体" w:cs="Times New Roman"/>
                <w:bCs/>
                <w:snapToGrid w:val="0"/>
                <w:szCs w:val="21"/>
              </w:rPr>
              <w:t>实验四</w:t>
            </w:r>
          </w:p>
        </w:tc>
        <w:tc>
          <w:tcPr>
            <w:tcW w:w="3544" w:type="dxa"/>
            <w:tcMar>
              <w:top w:w="57" w:type="dxa"/>
              <w:bottom w:w="57" w:type="dxa"/>
            </w:tcMar>
            <w:vAlign w:val="center"/>
          </w:tcPr>
          <w:p>
            <w:pPr>
              <w:spacing w:line="288" w:lineRule="auto"/>
              <w:rPr>
                <w:rFonts w:ascii="Times New Roman" w:hAnsi="Times New Roman" w:eastAsia="宋体" w:cs="Times New Roman"/>
                <w:bCs/>
                <w:snapToGrid w:val="0"/>
                <w:szCs w:val="21"/>
              </w:rPr>
            </w:pPr>
            <w:r>
              <w:rPr>
                <w:rFonts w:ascii="Times New Roman" w:hAnsi="Times New Roman" w:eastAsia="宋体" w:cs="Times New Roman"/>
                <w:bCs/>
                <w:snapToGrid w:val="0"/>
                <w:szCs w:val="21"/>
              </w:rPr>
              <w:t>出口货物装船运输</w:t>
            </w:r>
          </w:p>
        </w:tc>
        <w:tc>
          <w:tcPr>
            <w:tcW w:w="5103" w:type="dxa"/>
            <w:tcMar>
              <w:top w:w="57" w:type="dxa"/>
              <w:bottom w:w="57" w:type="dxa"/>
            </w:tcMar>
            <w:vAlign w:val="center"/>
          </w:tcPr>
          <w:p>
            <w:pPr>
              <w:spacing w:line="288" w:lineRule="auto"/>
              <w:rPr>
                <w:rFonts w:ascii="Times New Roman" w:hAnsi="Times New Roman" w:eastAsia="宋体" w:cs="Times New Roman"/>
                <w:bCs/>
                <w:snapToGrid w:val="0"/>
                <w:szCs w:val="21"/>
              </w:rPr>
            </w:pPr>
            <w:r>
              <w:rPr>
                <w:rFonts w:ascii="Times New Roman" w:hAnsi="Times New Roman" w:eastAsia="宋体" w:cs="Times New Roman"/>
                <w:bCs/>
                <w:snapToGrid w:val="0"/>
                <w:szCs w:val="21"/>
              </w:rPr>
              <w:t>1、教学重点</w:t>
            </w:r>
          </w:p>
          <w:p>
            <w:pPr>
              <w:pStyle w:val="6"/>
              <w:spacing w:line="288" w:lineRule="auto"/>
              <w:ind w:firstLine="0" w:firstLineChars="0"/>
              <w:rPr>
                <w:bCs/>
                <w:sz w:val="21"/>
                <w:szCs w:val="21"/>
              </w:rPr>
            </w:pPr>
            <w:r>
              <w:rPr>
                <w:rFonts w:hint="eastAsia" w:ascii="宋体" w:hAnsi="宋体" w:cs="宋体"/>
                <w:bCs/>
                <w:sz w:val="21"/>
                <w:szCs w:val="21"/>
              </w:rPr>
              <w:t>①</w:t>
            </w:r>
            <w:r>
              <w:rPr>
                <w:bCs/>
                <w:sz w:val="21"/>
                <w:szCs w:val="21"/>
              </w:rPr>
              <w:t>了解世界主要港口与航线；</w:t>
            </w:r>
          </w:p>
          <w:p>
            <w:pPr>
              <w:pStyle w:val="6"/>
              <w:spacing w:line="288" w:lineRule="auto"/>
              <w:ind w:firstLine="0" w:firstLineChars="0"/>
              <w:rPr>
                <w:bCs/>
                <w:sz w:val="21"/>
                <w:szCs w:val="21"/>
              </w:rPr>
            </w:pPr>
            <w:r>
              <w:rPr>
                <w:rFonts w:hint="eastAsia" w:ascii="宋体" w:hAnsi="宋体" w:cs="宋体"/>
                <w:bCs/>
                <w:sz w:val="21"/>
                <w:szCs w:val="21"/>
              </w:rPr>
              <w:t>②</w:t>
            </w:r>
            <w:r>
              <w:rPr>
                <w:bCs/>
                <w:sz w:val="21"/>
                <w:szCs w:val="21"/>
              </w:rPr>
              <w:t>计算班轮运费、速遣费与滞期费；</w:t>
            </w:r>
          </w:p>
          <w:p>
            <w:pPr>
              <w:pStyle w:val="6"/>
              <w:spacing w:line="288" w:lineRule="auto"/>
              <w:ind w:firstLine="0" w:firstLineChars="0"/>
              <w:rPr>
                <w:bCs/>
                <w:sz w:val="21"/>
                <w:szCs w:val="21"/>
              </w:rPr>
            </w:pPr>
            <w:r>
              <w:rPr>
                <w:rFonts w:hint="eastAsia" w:ascii="宋体" w:hAnsi="宋体" w:cs="宋体"/>
                <w:bCs/>
                <w:sz w:val="21"/>
                <w:szCs w:val="21"/>
              </w:rPr>
              <w:t>③</w:t>
            </w:r>
            <w:r>
              <w:rPr>
                <w:bCs/>
                <w:sz w:val="21"/>
                <w:szCs w:val="21"/>
              </w:rPr>
              <w:t>掌握海运提单各项目填制要求。</w:t>
            </w:r>
          </w:p>
          <w:p>
            <w:pPr>
              <w:spacing w:line="288" w:lineRule="auto"/>
              <w:rPr>
                <w:rFonts w:ascii="Times New Roman" w:hAnsi="Times New Roman" w:eastAsia="宋体" w:cs="Times New Roman"/>
                <w:bCs/>
                <w:snapToGrid w:val="0"/>
                <w:szCs w:val="21"/>
              </w:rPr>
            </w:pPr>
            <w:r>
              <w:rPr>
                <w:rFonts w:ascii="Times New Roman" w:hAnsi="Times New Roman" w:eastAsia="宋体" w:cs="Times New Roman"/>
                <w:bCs/>
                <w:snapToGrid w:val="0"/>
                <w:szCs w:val="21"/>
              </w:rPr>
              <w:t>2、教学难点</w:t>
            </w:r>
          </w:p>
          <w:p>
            <w:pPr>
              <w:pStyle w:val="6"/>
              <w:spacing w:line="288" w:lineRule="auto"/>
              <w:ind w:firstLine="0" w:firstLineChars="0"/>
              <w:rPr>
                <w:bCs/>
                <w:sz w:val="21"/>
                <w:szCs w:val="21"/>
              </w:rPr>
            </w:pPr>
            <w:r>
              <w:rPr>
                <w:rFonts w:hint="eastAsia" w:ascii="宋体" w:hAnsi="宋体" w:cs="宋体"/>
                <w:bCs/>
                <w:sz w:val="21"/>
                <w:szCs w:val="21"/>
              </w:rPr>
              <w:t>①</w:t>
            </w:r>
            <w:r>
              <w:rPr>
                <w:bCs/>
                <w:sz w:val="21"/>
                <w:szCs w:val="21"/>
              </w:rPr>
              <w:t>明确班轮运费计费标准；</w:t>
            </w:r>
          </w:p>
          <w:p>
            <w:pPr>
              <w:pStyle w:val="6"/>
              <w:spacing w:line="288" w:lineRule="auto"/>
              <w:ind w:firstLine="0" w:firstLineChars="0"/>
              <w:rPr>
                <w:bCs/>
                <w:sz w:val="21"/>
                <w:szCs w:val="21"/>
              </w:rPr>
            </w:pPr>
            <w:r>
              <w:rPr>
                <w:rFonts w:hint="eastAsia" w:ascii="宋体" w:hAnsi="宋体" w:cs="宋体"/>
                <w:bCs/>
                <w:sz w:val="21"/>
                <w:szCs w:val="21"/>
              </w:rPr>
              <w:t>②</w:t>
            </w:r>
            <w:r>
              <w:rPr>
                <w:bCs/>
                <w:sz w:val="21"/>
                <w:szCs w:val="21"/>
              </w:rPr>
              <w:t>根据资料填写海运提单；</w:t>
            </w:r>
          </w:p>
          <w:p>
            <w:pPr>
              <w:pStyle w:val="6"/>
              <w:spacing w:line="288" w:lineRule="auto"/>
              <w:ind w:firstLine="0" w:firstLineChars="0"/>
              <w:rPr>
                <w:bCs/>
                <w:sz w:val="21"/>
                <w:szCs w:val="21"/>
              </w:rPr>
            </w:pPr>
            <w:r>
              <w:rPr>
                <w:rFonts w:hint="eastAsia" w:ascii="宋体" w:hAnsi="宋体" w:cs="宋体"/>
                <w:bCs/>
                <w:sz w:val="21"/>
                <w:szCs w:val="21"/>
              </w:rPr>
              <w:t>③</w:t>
            </w:r>
            <w:r>
              <w:rPr>
                <w:bCs/>
                <w:sz w:val="21"/>
                <w:szCs w:val="21"/>
              </w:rPr>
              <w:t>课程思政：世界500强之中远集团，讲好中国故事。</w:t>
            </w:r>
          </w:p>
          <w:p>
            <w:pPr>
              <w:spacing w:line="288" w:lineRule="auto"/>
              <w:rPr>
                <w:rFonts w:ascii="Times New Roman" w:hAnsi="Times New Roman" w:eastAsia="宋体" w:cs="Times New Roman"/>
                <w:bCs/>
                <w:snapToGrid w:val="0"/>
                <w:szCs w:val="21"/>
              </w:rPr>
            </w:pPr>
            <w:r>
              <w:rPr>
                <w:rFonts w:ascii="Times New Roman" w:hAnsi="Times New Roman" w:eastAsia="宋体" w:cs="Times New Roman"/>
                <w:bCs/>
                <w:snapToGrid w:val="0"/>
                <w:szCs w:val="21"/>
              </w:rPr>
              <w:t>3、教学方法：</w:t>
            </w:r>
            <w:r>
              <w:rPr>
                <w:rFonts w:ascii="Times New Roman" w:hAnsi="Times New Roman" w:eastAsia="宋体" w:cs="Times New Roman"/>
                <w:bCs/>
                <w:color w:val="000000"/>
                <w:kern w:val="0"/>
                <w:szCs w:val="21"/>
              </w:rPr>
              <w:t>讲授、实验、角色扮演、多媒体演示。</w:t>
            </w:r>
          </w:p>
        </w:tc>
        <w:tc>
          <w:tcPr>
            <w:tcW w:w="3864" w:type="dxa"/>
            <w:tcMar>
              <w:top w:w="57" w:type="dxa"/>
              <w:bottom w:w="57" w:type="dxa"/>
            </w:tcMar>
            <w:vAlign w:val="center"/>
          </w:tcPr>
          <w:p>
            <w:pPr>
              <w:pStyle w:val="48"/>
              <w:spacing w:line="288" w:lineRule="auto"/>
              <w:jc w:val="both"/>
              <w:rPr>
                <w:rFonts w:ascii="Times New Roman" w:eastAsia="宋体" w:cs="Times New Roman"/>
                <w:bCs/>
                <w:sz w:val="21"/>
                <w:szCs w:val="21"/>
              </w:rPr>
            </w:pPr>
            <w:r>
              <w:rPr>
                <w:rFonts w:ascii="Times New Roman" w:eastAsia="宋体" w:cs="Times New Roman"/>
                <w:bCs/>
                <w:sz w:val="21"/>
                <w:szCs w:val="21"/>
              </w:rPr>
              <w:t>1、教师任务</w:t>
            </w:r>
          </w:p>
          <w:p>
            <w:pPr>
              <w:pStyle w:val="48"/>
              <w:spacing w:line="288" w:lineRule="auto"/>
              <w:jc w:val="both"/>
              <w:rPr>
                <w:rFonts w:ascii="Times New Roman" w:eastAsia="宋体" w:cs="Times New Roman"/>
                <w:bCs/>
                <w:sz w:val="21"/>
                <w:szCs w:val="21"/>
              </w:rPr>
            </w:pPr>
            <w:r>
              <w:rPr>
                <w:rFonts w:hint="eastAsia" w:ascii="宋体" w:hAnsi="宋体" w:eastAsia="宋体" w:cs="宋体"/>
                <w:bCs/>
                <w:sz w:val="21"/>
                <w:szCs w:val="21"/>
              </w:rPr>
              <w:t>①</w:t>
            </w:r>
            <w:r>
              <w:rPr>
                <w:rFonts w:ascii="Times New Roman" w:eastAsia="宋体" w:cs="Times New Roman"/>
                <w:bCs/>
                <w:sz w:val="21"/>
                <w:szCs w:val="21"/>
              </w:rPr>
              <w:t>总结所学及反馈遇到问题；</w:t>
            </w:r>
          </w:p>
          <w:p>
            <w:pPr>
              <w:pStyle w:val="48"/>
              <w:spacing w:line="288" w:lineRule="auto"/>
              <w:jc w:val="both"/>
              <w:rPr>
                <w:rFonts w:ascii="Times New Roman" w:eastAsia="宋体" w:cs="Times New Roman"/>
                <w:bCs/>
                <w:sz w:val="21"/>
                <w:szCs w:val="21"/>
              </w:rPr>
            </w:pPr>
            <w:r>
              <w:rPr>
                <w:rFonts w:hint="eastAsia" w:ascii="宋体" w:hAnsi="宋体" w:eastAsia="宋体" w:cs="宋体"/>
                <w:bCs/>
                <w:sz w:val="21"/>
                <w:szCs w:val="21"/>
              </w:rPr>
              <w:t>②</w:t>
            </w:r>
            <w:r>
              <w:rPr>
                <w:rFonts w:ascii="Times New Roman" w:eastAsia="宋体" w:cs="Times New Roman"/>
                <w:bCs/>
                <w:sz w:val="21"/>
                <w:szCs w:val="21"/>
              </w:rPr>
              <w:t>介绍实验安排与实验目的；</w:t>
            </w:r>
          </w:p>
          <w:p>
            <w:pPr>
              <w:pStyle w:val="48"/>
              <w:spacing w:line="288" w:lineRule="auto"/>
              <w:jc w:val="both"/>
              <w:rPr>
                <w:rFonts w:ascii="Times New Roman" w:eastAsia="宋体" w:cs="Times New Roman"/>
                <w:bCs/>
                <w:sz w:val="21"/>
                <w:szCs w:val="21"/>
              </w:rPr>
            </w:pPr>
            <w:r>
              <w:rPr>
                <w:rFonts w:hint="eastAsia" w:ascii="宋体" w:hAnsi="宋体" w:eastAsia="宋体" w:cs="宋体"/>
                <w:bCs/>
                <w:sz w:val="21"/>
                <w:szCs w:val="21"/>
              </w:rPr>
              <w:t>③</w:t>
            </w:r>
            <w:r>
              <w:rPr>
                <w:rFonts w:ascii="Times New Roman" w:eastAsia="宋体" w:cs="Times New Roman"/>
                <w:bCs/>
                <w:sz w:val="21"/>
                <w:szCs w:val="21"/>
              </w:rPr>
              <w:t>组织学生完成实验项目任务；</w:t>
            </w:r>
          </w:p>
          <w:p>
            <w:pPr>
              <w:pStyle w:val="48"/>
              <w:spacing w:line="288" w:lineRule="auto"/>
              <w:jc w:val="both"/>
              <w:rPr>
                <w:rFonts w:ascii="Times New Roman" w:eastAsia="宋体" w:cs="Times New Roman"/>
                <w:bCs/>
                <w:sz w:val="21"/>
                <w:szCs w:val="21"/>
              </w:rPr>
            </w:pPr>
            <w:r>
              <w:rPr>
                <w:rFonts w:hint="eastAsia" w:ascii="宋体" w:hAnsi="宋体" w:eastAsia="宋体" w:cs="宋体"/>
                <w:bCs/>
                <w:sz w:val="21"/>
                <w:szCs w:val="21"/>
              </w:rPr>
              <w:t>④</w:t>
            </w:r>
            <w:r>
              <w:rPr>
                <w:rFonts w:ascii="Times New Roman" w:eastAsia="宋体" w:cs="Times New Roman"/>
                <w:bCs/>
                <w:sz w:val="21"/>
                <w:szCs w:val="21"/>
              </w:rPr>
              <w:t>教学反思。</w:t>
            </w:r>
          </w:p>
          <w:p>
            <w:pPr>
              <w:pStyle w:val="48"/>
              <w:spacing w:line="288" w:lineRule="auto"/>
              <w:jc w:val="both"/>
              <w:rPr>
                <w:rFonts w:ascii="Times New Roman" w:eastAsia="宋体" w:cs="Times New Roman"/>
                <w:bCs/>
                <w:sz w:val="21"/>
                <w:szCs w:val="21"/>
              </w:rPr>
            </w:pPr>
            <w:r>
              <w:rPr>
                <w:rFonts w:ascii="Times New Roman" w:eastAsia="宋体" w:cs="Times New Roman"/>
                <w:bCs/>
                <w:sz w:val="21"/>
                <w:szCs w:val="21"/>
              </w:rPr>
              <w:t>2、学生任务</w:t>
            </w:r>
          </w:p>
          <w:p>
            <w:pPr>
              <w:pStyle w:val="48"/>
              <w:spacing w:line="288" w:lineRule="auto"/>
              <w:jc w:val="both"/>
              <w:rPr>
                <w:rFonts w:ascii="Times New Roman" w:eastAsia="宋体" w:cs="Times New Roman"/>
                <w:bCs/>
                <w:sz w:val="21"/>
                <w:szCs w:val="21"/>
              </w:rPr>
            </w:pPr>
            <w:r>
              <w:rPr>
                <w:rFonts w:hint="eastAsia" w:ascii="宋体" w:hAnsi="宋体" w:eastAsia="宋体" w:cs="宋体"/>
                <w:bCs/>
                <w:sz w:val="21"/>
                <w:szCs w:val="21"/>
              </w:rPr>
              <w:t>①</w:t>
            </w:r>
            <w:r>
              <w:rPr>
                <w:rFonts w:ascii="Times New Roman" w:eastAsia="宋体" w:cs="Times New Roman"/>
                <w:bCs/>
                <w:sz w:val="21"/>
                <w:szCs w:val="21"/>
              </w:rPr>
              <w:t>课前做好国际货物运输理论知识复习；</w:t>
            </w:r>
          </w:p>
          <w:p>
            <w:pPr>
              <w:pStyle w:val="48"/>
              <w:spacing w:line="288" w:lineRule="auto"/>
              <w:jc w:val="both"/>
              <w:rPr>
                <w:rFonts w:ascii="Times New Roman" w:eastAsia="宋体" w:cs="Times New Roman"/>
                <w:bCs/>
                <w:sz w:val="21"/>
                <w:szCs w:val="21"/>
              </w:rPr>
            </w:pPr>
            <w:r>
              <w:rPr>
                <w:rFonts w:hint="eastAsia" w:ascii="宋体" w:hAnsi="宋体" w:eastAsia="宋体" w:cs="宋体"/>
                <w:bCs/>
                <w:sz w:val="21"/>
                <w:szCs w:val="21"/>
              </w:rPr>
              <w:t>②</w:t>
            </w:r>
            <w:r>
              <w:rPr>
                <w:rFonts w:ascii="Times New Roman" w:eastAsia="宋体" w:cs="Times New Roman"/>
                <w:bCs/>
                <w:sz w:val="21"/>
                <w:szCs w:val="21"/>
              </w:rPr>
              <w:t>以进出口商角色进行模拟货物装船出运，填制海运提单；</w:t>
            </w:r>
          </w:p>
          <w:p>
            <w:pPr>
              <w:pStyle w:val="48"/>
              <w:spacing w:line="288" w:lineRule="auto"/>
              <w:jc w:val="both"/>
              <w:rPr>
                <w:rFonts w:ascii="Times New Roman" w:eastAsia="宋体" w:cs="Times New Roman"/>
                <w:bCs/>
                <w:snapToGrid w:val="0"/>
                <w:color w:val="auto"/>
                <w:kern w:val="2"/>
                <w:sz w:val="21"/>
                <w:szCs w:val="21"/>
              </w:rPr>
            </w:pPr>
            <w:r>
              <w:rPr>
                <w:rFonts w:hint="eastAsia" w:ascii="宋体" w:hAnsi="宋体" w:eastAsia="宋体" w:cs="宋体"/>
                <w:bCs/>
                <w:sz w:val="21"/>
                <w:szCs w:val="21"/>
              </w:rPr>
              <w:t>③</w:t>
            </w:r>
            <w:r>
              <w:rPr>
                <w:rFonts w:ascii="Times New Roman" w:eastAsia="宋体" w:cs="Times New Roman"/>
                <w:bCs/>
                <w:sz w:val="21"/>
                <w:szCs w:val="21"/>
              </w:rPr>
              <w:t>撰写实验报告，做好学习笔记。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28" w:type="dxa"/>
            <w:bottom w:w="28" w:type="dxa"/>
            <w:right w:w="28" w:type="dxa"/>
          </w:tblCellMar>
        </w:tblPrEx>
        <w:trPr>
          <w:trHeight w:val="20" w:hRule="atLeast"/>
          <w:jc w:val="center"/>
        </w:trPr>
        <w:tc>
          <w:tcPr>
            <w:tcW w:w="0" w:type="auto"/>
            <w:tcMar>
              <w:top w:w="57" w:type="dxa"/>
              <w:bottom w:w="57" w:type="dxa"/>
            </w:tcMar>
            <w:vAlign w:val="center"/>
          </w:tcPr>
          <w:p>
            <w:pPr>
              <w:spacing w:line="288" w:lineRule="auto"/>
              <w:jc w:val="center"/>
              <w:rPr>
                <w:rFonts w:ascii="Times New Roman" w:hAnsi="Times New Roman" w:eastAsia="宋体" w:cs="Times New Roman"/>
                <w:bCs/>
                <w:snapToGrid w:val="0"/>
                <w:szCs w:val="21"/>
              </w:rPr>
            </w:pPr>
            <w:r>
              <w:rPr>
                <w:rFonts w:ascii="Times New Roman" w:hAnsi="Times New Roman" w:eastAsia="宋体" w:cs="Times New Roman"/>
                <w:bCs/>
                <w:snapToGrid w:val="0"/>
                <w:szCs w:val="21"/>
              </w:rPr>
              <w:t>8</w:t>
            </w:r>
          </w:p>
        </w:tc>
        <w:tc>
          <w:tcPr>
            <w:tcW w:w="890" w:type="dxa"/>
            <w:vAlign w:val="center"/>
          </w:tcPr>
          <w:p>
            <w:pPr>
              <w:spacing w:line="288" w:lineRule="auto"/>
              <w:jc w:val="center"/>
              <w:rPr>
                <w:rFonts w:ascii="Times New Roman" w:hAnsi="Times New Roman" w:eastAsia="宋体" w:cs="Times New Roman"/>
                <w:bCs/>
                <w:snapToGrid w:val="0"/>
                <w:szCs w:val="21"/>
              </w:rPr>
            </w:pPr>
            <w:r>
              <w:rPr>
                <w:rFonts w:ascii="Times New Roman" w:hAnsi="Times New Roman" w:eastAsia="宋体" w:cs="Times New Roman"/>
                <w:bCs/>
                <w:snapToGrid w:val="0"/>
                <w:szCs w:val="21"/>
              </w:rPr>
              <w:t>第五章</w:t>
            </w:r>
          </w:p>
          <w:p>
            <w:pPr>
              <w:spacing w:line="288" w:lineRule="auto"/>
              <w:jc w:val="center"/>
              <w:rPr>
                <w:rFonts w:ascii="Times New Roman" w:hAnsi="Times New Roman" w:eastAsia="宋体" w:cs="Times New Roman"/>
                <w:bCs/>
                <w:snapToGrid w:val="0"/>
                <w:szCs w:val="21"/>
              </w:rPr>
            </w:pPr>
            <w:r>
              <w:rPr>
                <w:rFonts w:ascii="Times New Roman" w:hAnsi="Times New Roman" w:eastAsia="宋体" w:cs="Times New Roman"/>
                <w:bCs/>
                <w:snapToGrid w:val="0"/>
                <w:szCs w:val="21"/>
              </w:rPr>
              <w:t>国际货物运输保险</w:t>
            </w:r>
          </w:p>
        </w:tc>
        <w:tc>
          <w:tcPr>
            <w:tcW w:w="3544" w:type="dxa"/>
            <w:tcMar>
              <w:top w:w="57" w:type="dxa"/>
              <w:bottom w:w="57" w:type="dxa"/>
            </w:tcMar>
            <w:vAlign w:val="center"/>
          </w:tcPr>
          <w:p>
            <w:pPr>
              <w:spacing w:line="288" w:lineRule="auto"/>
              <w:rPr>
                <w:rFonts w:ascii="Times New Roman" w:hAnsi="Times New Roman" w:eastAsia="宋体" w:cs="Times New Roman"/>
                <w:bCs/>
                <w:snapToGrid w:val="0"/>
                <w:szCs w:val="21"/>
              </w:rPr>
            </w:pPr>
            <w:r>
              <w:rPr>
                <w:rFonts w:ascii="Times New Roman" w:hAnsi="Times New Roman" w:eastAsia="宋体" w:cs="Times New Roman"/>
                <w:bCs/>
                <w:snapToGrid w:val="0"/>
                <w:szCs w:val="21"/>
              </w:rPr>
              <w:t>1、海上货物运输保险承保范围</w:t>
            </w:r>
          </w:p>
          <w:p>
            <w:pPr>
              <w:spacing w:line="288" w:lineRule="auto"/>
              <w:rPr>
                <w:rFonts w:ascii="Times New Roman" w:hAnsi="Times New Roman" w:eastAsia="宋体" w:cs="Times New Roman"/>
                <w:bCs/>
                <w:snapToGrid w:val="0"/>
                <w:szCs w:val="21"/>
              </w:rPr>
            </w:pPr>
            <w:r>
              <w:rPr>
                <w:rFonts w:ascii="Times New Roman" w:hAnsi="Times New Roman" w:eastAsia="宋体" w:cs="Times New Roman"/>
                <w:bCs/>
                <w:snapToGrid w:val="0"/>
                <w:szCs w:val="21"/>
              </w:rPr>
              <w:t>2、海运货物保险条款</w:t>
            </w:r>
          </w:p>
          <w:p>
            <w:pPr>
              <w:spacing w:line="288" w:lineRule="auto"/>
              <w:rPr>
                <w:rFonts w:ascii="Times New Roman" w:hAnsi="Times New Roman" w:eastAsia="宋体" w:cs="Times New Roman"/>
                <w:bCs/>
                <w:snapToGrid w:val="0"/>
                <w:szCs w:val="21"/>
              </w:rPr>
            </w:pPr>
            <w:r>
              <w:rPr>
                <w:rFonts w:ascii="Times New Roman" w:hAnsi="Times New Roman" w:eastAsia="宋体" w:cs="Times New Roman"/>
                <w:bCs/>
                <w:snapToGrid w:val="0"/>
                <w:szCs w:val="21"/>
              </w:rPr>
              <w:t>3、其他运输方式下的货运保险</w:t>
            </w:r>
          </w:p>
          <w:p>
            <w:pPr>
              <w:spacing w:line="288" w:lineRule="auto"/>
              <w:rPr>
                <w:rFonts w:ascii="Times New Roman" w:hAnsi="Times New Roman" w:eastAsia="宋体" w:cs="Times New Roman"/>
                <w:bCs/>
                <w:snapToGrid w:val="0"/>
                <w:szCs w:val="21"/>
              </w:rPr>
            </w:pPr>
            <w:r>
              <w:rPr>
                <w:rFonts w:ascii="Times New Roman" w:hAnsi="Times New Roman" w:eastAsia="宋体" w:cs="Times New Roman"/>
                <w:bCs/>
                <w:snapToGrid w:val="0"/>
                <w:szCs w:val="21"/>
              </w:rPr>
              <w:t>4、买卖合同中的保险条款</w:t>
            </w:r>
          </w:p>
        </w:tc>
        <w:tc>
          <w:tcPr>
            <w:tcW w:w="5103" w:type="dxa"/>
            <w:tcMar>
              <w:top w:w="57" w:type="dxa"/>
              <w:bottom w:w="57" w:type="dxa"/>
            </w:tcMar>
            <w:vAlign w:val="center"/>
          </w:tcPr>
          <w:p>
            <w:pPr>
              <w:spacing w:line="288" w:lineRule="auto"/>
              <w:rPr>
                <w:rFonts w:ascii="Times New Roman" w:hAnsi="Times New Roman" w:eastAsia="宋体" w:cs="Times New Roman"/>
                <w:bCs/>
                <w:snapToGrid w:val="0"/>
                <w:szCs w:val="21"/>
              </w:rPr>
            </w:pPr>
            <w:r>
              <w:rPr>
                <w:rFonts w:ascii="Times New Roman" w:hAnsi="Times New Roman" w:eastAsia="宋体" w:cs="Times New Roman"/>
                <w:bCs/>
                <w:snapToGrid w:val="0"/>
                <w:szCs w:val="21"/>
              </w:rPr>
              <w:t>1、教学重点</w:t>
            </w:r>
          </w:p>
          <w:p>
            <w:pPr>
              <w:pStyle w:val="6"/>
              <w:spacing w:line="288" w:lineRule="auto"/>
              <w:ind w:firstLine="0" w:firstLineChars="0"/>
              <w:rPr>
                <w:bCs/>
                <w:sz w:val="21"/>
                <w:szCs w:val="21"/>
              </w:rPr>
            </w:pPr>
            <w:r>
              <w:rPr>
                <w:rFonts w:hint="eastAsia" w:ascii="宋体" w:hAnsi="宋体" w:cs="宋体"/>
                <w:bCs/>
                <w:sz w:val="21"/>
                <w:szCs w:val="21"/>
              </w:rPr>
              <w:t>①</w:t>
            </w:r>
            <w:r>
              <w:rPr>
                <w:bCs/>
                <w:sz w:val="21"/>
                <w:szCs w:val="21"/>
              </w:rPr>
              <w:t>了解货运保险的性质、其他运输方式下的货运保险；</w:t>
            </w:r>
          </w:p>
          <w:p>
            <w:pPr>
              <w:pStyle w:val="6"/>
              <w:spacing w:line="288" w:lineRule="auto"/>
              <w:ind w:firstLine="0" w:firstLineChars="0"/>
              <w:rPr>
                <w:bCs/>
                <w:sz w:val="21"/>
                <w:szCs w:val="21"/>
              </w:rPr>
            </w:pPr>
            <w:r>
              <w:rPr>
                <w:rFonts w:hint="eastAsia" w:ascii="宋体" w:hAnsi="宋体" w:cs="宋体"/>
                <w:bCs/>
                <w:sz w:val="21"/>
                <w:szCs w:val="21"/>
              </w:rPr>
              <w:t>②</w:t>
            </w:r>
            <w:r>
              <w:rPr>
                <w:bCs/>
                <w:sz w:val="21"/>
                <w:szCs w:val="21"/>
              </w:rPr>
              <w:t>明确海运保险的保障范围；</w:t>
            </w:r>
          </w:p>
          <w:p>
            <w:pPr>
              <w:pStyle w:val="6"/>
              <w:spacing w:line="288" w:lineRule="auto"/>
              <w:ind w:firstLine="0" w:firstLineChars="0"/>
              <w:rPr>
                <w:bCs/>
                <w:sz w:val="21"/>
                <w:szCs w:val="21"/>
              </w:rPr>
            </w:pPr>
            <w:r>
              <w:rPr>
                <w:rFonts w:hint="eastAsia" w:ascii="宋体" w:hAnsi="宋体" w:cs="宋体"/>
                <w:bCs/>
                <w:sz w:val="21"/>
                <w:szCs w:val="21"/>
              </w:rPr>
              <w:t>③</w:t>
            </w:r>
            <w:r>
              <w:rPr>
                <w:bCs/>
                <w:sz w:val="21"/>
                <w:szCs w:val="21"/>
              </w:rPr>
              <w:t>明确我国海运货物保险条款内容；</w:t>
            </w:r>
          </w:p>
          <w:p>
            <w:pPr>
              <w:pStyle w:val="6"/>
              <w:spacing w:line="288" w:lineRule="auto"/>
              <w:ind w:firstLine="0" w:firstLineChars="0"/>
              <w:rPr>
                <w:bCs/>
                <w:sz w:val="21"/>
                <w:szCs w:val="21"/>
              </w:rPr>
            </w:pPr>
            <w:r>
              <w:rPr>
                <w:rFonts w:hint="eastAsia" w:ascii="宋体" w:hAnsi="宋体" w:cs="宋体"/>
                <w:bCs/>
                <w:sz w:val="21"/>
                <w:szCs w:val="21"/>
              </w:rPr>
              <w:t>④</w:t>
            </w:r>
            <w:r>
              <w:rPr>
                <w:bCs/>
                <w:sz w:val="21"/>
                <w:szCs w:val="21"/>
              </w:rPr>
              <w:t>基本险的赔偿责任范围；</w:t>
            </w:r>
          </w:p>
          <w:p>
            <w:pPr>
              <w:pStyle w:val="6"/>
              <w:spacing w:line="288" w:lineRule="auto"/>
              <w:ind w:firstLine="0" w:firstLineChars="0"/>
              <w:rPr>
                <w:bCs/>
                <w:sz w:val="21"/>
                <w:szCs w:val="21"/>
              </w:rPr>
            </w:pPr>
            <w:r>
              <w:rPr>
                <w:rFonts w:hint="eastAsia" w:ascii="宋体" w:hAnsi="宋体" w:cs="宋体"/>
                <w:bCs/>
                <w:sz w:val="21"/>
                <w:szCs w:val="21"/>
              </w:rPr>
              <w:t>⑤</w:t>
            </w:r>
            <w:r>
              <w:rPr>
                <w:bCs/>
                <w:sz w:val="21"/>
                <w:szCs w:val="21"/>
              </w:rPr>
              <w:t>保险费用的计算；</w:t>
            </w:r>
          </w:p>
          <w:p>
            <w:pPr>
              <w:pStyle w:val="6"/>
              <w:spacing w:line="288" w:lineRule="auto"/>
              <w:ind w:firstLine="0" w:firstLineChars="0"/>
              <w:rPr>
                <w:bCs/>
                <w:sz w:val="21"/>
                <w:szCs w:val="21"/>
              </w:rPr>
            </w:pPr>
            <w:r>
              <w:rPr>
                <w:rFonts w:hint="eastAsia" w:ascii="宋体" w:hAnsi="宋体" w:cs="宋体"/>
                <w:bCs/>
                <w:sz w:val="21"/>
                <w:szCs w:val="21"/>
              </w:rPr>
              <w:t>⑥</w:t>
            </w:r>
            <w:r>
              <w:rPr>
                <w:bCs/>
                <w:sz w:val="21"/>
                <w:szCs w:val="21"/>
              </w:rPr>
              <w:t>保险单据的主要内容。</w:t>
            </w:r>
          </w:p>
          <w:p>
            <w:pPr>
              <w:spacing w:line="288" w:lineRule="auto"/>
              <w:rPr>
                <w:rFonts w:ascii="Times New Roman" w:hAnsi="Times New Roman" w:eastAsia="宋体" w:cs="Times New Roman"/>
                <w:bCs/>
                <w:snapToGrid w:val="0"/>
                <w:szCs w:val="21"/>
              </w:rPr>
            </w:pPr>
            <w:r>
              <w:rPr>
                <w:rFonts w:ascii="Times New Roman" w:hAnsi="Times New Roman" w:eastAsia="宋体" w:cs="Times New Roman"/>
                <w:bCs/>
                <w:snapToGrid w:val="0"/>
                <w:szCs w:val="21"/>
              </w:rPr>
              <w:t>2、教学难点</w:t>
            </w:r>
          </w:p>
          <w:p>
            <w:pPr>
              <w:pStyle w:val="6"/>
              <w:spacing w:line="288" w:lineRule="auto"/>
              <w:ind w:firstLine="0" w:firstLineChars="0"/>
              <w:rPr>
                <w:bCs/>
                <w:sz w:val="21"/>
                <w:szCs w:val="21"/>
              </w:rPr>
            </w:pPr>
            <w:r>
              <w:rPr>
                <w:rFonts w:hint="eastAsia" w:ascii="宋体" w:hAnsi="宋体" w:cs="宋体"/>
                <w:bCs/>
                <w:sz w:val="21"/>
                <w:szCs w:val="21"/>
              </w:rPr>
              <w:t>①</w:t>
            </w:r>
            <w:r>
              <w:rPr>
                <w:bCs/>
                <w:sz w:val="21"/>
                <w:szCs w:val="21"/>
              </w:rPr>
              <w:t>单独海损与共同海损的区别；</w:t>
            </w:r>
          </w:p>
          <w:p>
            <w:pPr>
              <w:pStyle w:val="6"/>
              <w:spacing w:line="288" w:lineRule="auto"/>
              <w:ind w:firstLine="0" w:firstLineChars="0"/>
              <w:rPr>
                <w:bCs/>
                <w:sz w:val="21"/>
                <w:szCs w:val="21"/>
              </w:rPr>
            </w:pPr>
            <w:r>
              <w:rPr>
                <w:rFonts w:hint="eastAsia" w:ascii="宋体" w:hAnsi="宋体" w:cs="宋体"/>
                <w:bCs/>
                <w:sz w:val="21"/>
                <w:szCs w:val="21"/>
              </w:rPr>
              <w:t>②</w:t>
            </w:r>
            <w:r>
              <w:rPr>
                <w:bCs/>
                <w:sz w:val="21"/>
                <w:szCs w:val="21"/>
              </w:rPr>
              <w:t>基本险除外责任与保险责任起讫；</w:t>
            </w:r>
          </w:p>
          <w:p>
            <w:pPr>
              <w:pStyle w:val="6"/>
              <w:spacing w:line="288" w:lineRule="auto"/>
              <w:ind w:firstLine="0" w:firstLineChars="0"/>
              <w:rPr>
                <w:bCs/>
                <w:sz w:val="21"/>
                <w:szCs w:val="21"/>
              </w:rPr>
            </w:pPr>
            <w:r>
              <w:rPr>
                <w:rFonts w:hint="eastAsia" w:ascii="宋体" w:hAnsi="宋体" w:cs="宋体"/>
                <w:bCs/>
                <w:sz w:val="21"/>
                <w:szCs w:val="21"/>
              </w:rPr>
              <w:t>③</w:t>
            </w:r>
            <w:r>
              <w:rPr>
                <w:bCs/>
                <w:sz w:val="21"/>
                <w:szCs w:val="21"/>
              </w:rPr>
              <w:t>CIC与ICC条款的区别；</w:t>
            </w:r>
          </w:p>
          <w:p>
            <w:pPr>
              <w:pStyle w:val="6"/>
              <w:spacing w:line="288" w:lineRule="auto"/>
              <w:ind w:firstLine="0" w:firstLineChars="0"/>
              <w:rPr>
                <w:bCs/>
                <w:sz w:val="21"/>
                <w:szCs w:val="21"/>
              </w:rPr>
            </w:pPr>
            <w:r>
              <w:rPr>
                <w:rFonts w:hint="eastAsia" w:ascii="宋体" w:hAnsi="宋体" w:cs="宋体"/>
                <w:bCs/>
                <w:sz w:val="21"/>
                <w:szCs w:val="21"/>
              </w:rPr>
              <w:t>④</w:t>
            </w:r>
            <w:r>
              <w:rPr>
                <w:bCs/>
                <w:sz w:val="21"/>
                <w:szCs w:val="21"/>
              </w:rPr>
              <w:t>保险条款约定的注意事项；</w:t>
            </w:r>
          </w:p>
          <w:p>
            <w:pPr>
              <w:pStyle w:val="6"/>
              <w:spacing w:line="288" w:lineRule="auto"/>
              <w:ind w:firstLine="0" w:firstLineChars="0"/>
              <w:rPr>
                <w:bCs/>
                <w:sz w:val="21"/>
                <w:szCs w:val="21"/>
              </w:rPr>
            </w:pPr>
            <w:r>
              <w:rPr>
                <w:rFonts w:hint="eastAsia" w:ascii="宋体" w:hAnsi="宋体" w:cs="宋体"/>
                <w:bCs/>
                <w:sz w:val="21"/>
                <w:szCs w:val="21"/>
              </w:rPr>
              <w:t>⑤</w:t>
            </w:r>
            <w:r>
              <w:rPr>
                <w:bCs/>
                <w:sz w:val="21"/>
                <w:szCs w:val="21"/>
              </w:rPr>
              <w:t>保险单据制作的注意事项；</w:t>
            </w:r>
          </w:p>
          <w:p>
            <w:pPr>
              <w:pStyle w:val="6"/>
              <w:spacing w:line="288" w:lineRule="auto"/>
              <w:ind w:firstLine="0" w:firstLineChars="0"/>
              <w:rPr>
                <w:bCs/>
                <w:sz w:val="21"/>
                <w:szCs w:val="21"/>
              </w:rPr>
            </w:pPr>
            <w:r>
              <w:rPr>
                <w:rFonts w:hint="eastAsia" w:ascii="宋体" w:hAnsi="宋体" w:cs="宋体"/>
                <w:bCs/>
                <w:sz w:val="21"/>
                <w:szCs w:val="21"/>
              </w:rPr>
              <w:t>⑥</w:t>
            </w:r>
            <w:r>
              <w:rPr>
                <w:bCs/>
                <w:sz w:val="21"/>
                <w:szCs w:val="21"/>
              </w:rPr>
              <w:t>课程思政：防患于未然、风险防范意识；共同海损中的同舟共济、患难与共思想。</w:t>
            </w:r>
          </w:p>
          <w:p>
            <w:pPr>
              <w:spacing w:line="288" w:lineRule="auto"/>
              <w:rPr>
                <w:rFonts w:ascii="Times New Roman" w:hAnsi="Times New Roman" w:eastAsia="宋体" w:cs="Times New Roman"/>
                <w:bCs/>
                <w:snapToGrid w:val="0"/>
                <w:szCs w:val="21"/>
              </w:rPr>
            </w:pPr>
            <w:r>
              <w:rPr>
                <w:rFonts w:ascii="Times New Roman" w:hAnsi="Times New Roman" w:eastAsia="宋体" w:cs="Times New Roman"/>
                <w:bCs/>
                <w:snapToGrid w:val="0"/>
                <w:szCs w:val="21"/>
              </w:rPr>
              <w:t>3、教学方法：线上资源平台、</w:t>
            </w:r>
            <w:r>
              <w:rPr>
                <w:rFonts w:ascii="Times New Roman" w:hAnsi="Times New Roman" w:eastAsia="宋体" w:cs="Times New Roman"/>
                <w:bCs/>
                <w:kern w:val="0"/>
                <w:szCs w:val="21"/>
              </w:rPr>
              <w:t>讲授、交流讨论、案例分析、多媒体演示、板书。</w:t>
            </w:r>
          </w:p>
        </w:tc>
        <w:tc>
          <w:tcPr>
            <w:tcW w:w="3864" w:type="dxa"/>
            <w:tcMar>
              <w:top w:w="57" w:type="dxa"/>
              <w:bottom w:w="57" w:type="dxa"/>
            </w:tcMar>
            <w:vAlign w:val="center"/>
          </w:tcPr>
          <w:p>
            <w:pPr>
              <w:pStyle w:val="48"/>
              <w:spacing w:line="288" w:lineRule="auto"/>
              <w:jc w:val="both"/>
              <w:rPr>
                <w:rFonts w:ascii="Times New Roman" w:eastAsia="宋体" w:cs="Times New Roman"/>
                <w:bCs/>
                <w:color w:val="auto"/>
                <w:sz w:val="21"/>
                <w:szCs w:val="21"/>
              </w:rPr>
            </w:pPr>
            <w:r>
              <w:rPr>
                <w:rFonts w:ascii="Times New Roman" w:eastAsia="宋体" w:cs="Times New Roman"/>
                <w:bCs/>
                <w:color w:val="auto"/>
                <w:sz w:val="21"/>
                <w:szCs w:val="21"/>
              </w:rPr>
              <w:t>1、教师任务</w:t>
            </w:r>
          </w:p>
          <w:p>
            <w:pPr>
              <w:pStyle w:val="48"/>
              <w:spacing w:line="288" w:lineRule="auto"/>
              <w:jc w:val="both"/>
              <w:rPr>
                <w:rFonts w:ascii="Times New Roman" w:eastAsia="宋体" w:cs="Times New Roman"/>
                <w:bCs/>
                <w:color w:val="auto"/>
                <w:sz w:val="21"/>
                <w:szCs w:val="21"/>
              </w:rPr>
            </w:pPr>
            <w:r>
              <w:rPr>
                <w:rFonts w:hint="eastAsia" w:ascii="宋体" w:hAnsi="宋体" w:eastAsia="宋体" w:cs="宋体"/>
                <w:bCs/>
                <w:color w:val="auto"/>
                <w:sz w:val="21"/>
                <w:szCs w:val="21"/>
              </w:rPr>
              <w:t>①</w:t>
            </w:r>
            <w:r>
              <w:rPr>
                <w:rFonts w:ascii="Times New Roman" w:eastAsia="宋体" w:cs="Times New Roman"/>
                <w:bCs/>
                <w:color w:val="auto"/>
                <w:sz w:val="21"/>
                <w:szCs w:val="21"/>
              </w:rPr>
              <w:t>课前发布视频和测试任务；</w:t>
            </w:r>
          </w:p>
          <w:p>
            <w:pPr>
              <w:pStyle w:val="48"/>
              <w:spacing w:line="288" w:lineRule="auto"/>
              <w:jc w:val="both"/>
              <w:rPr>
                <w:rFonts w:ascii="Times New Roman" w:eastAsia="宋体" w:cs="Times New Roman"/>
                <w:bCs/>
                <w:color w:val="auto"/>
                <w:sz w:val="21"/>
                <w:szCs w:val="21"/>
              </w:rPr>
            </w:pPr>
            <w:r>
              <w:rPr>
                <w:rFonts w:hint="eastAsia" w:ascii="宋体" w:hAnsi="宋体" w:eastAsia="宋体" w:cs="宋体"/>
                <w:bCs/>
                <w:color w:val="auto"/>
                <w:sz w:val="21"/>
                <w:szCs w:val="21"/>
              </w:rPr>
              <w:t>②</w:t>
            </w:r>
            <w:r>
              <w:rPr>
                <w:rFonts w:ascii="Times New Roman" w:eastAsia="宋体" w:cs="Times New Roman"/>
                <w:bCs/>
                <w:color w:val="auto"/>
                <w:sz w:val="21"/>
                <w:szCs w:val="21"/>
              </w:rPr>
              <w:t>介绍本章节学习目标；</w:t>
            </w:r>
          </w:p>
          <w:p>
            <w:pPr>
              <w:pStyle w:val="48"/>
              <w:spacing w:line="288" w:lineRule="auto"/>
              <w:jc w:val="both"/>
              <w:rPr>
                <w:rFonts w:ascii="Times New Roman" w:eastAsia="宋体" w:cs="Times New Roman"/>
                <w:bCs/>
                <w:color w:val="auto"/>
                <w:sz w:val="21"/>
                <w:szCs w:val="21"/>
              </w:rPr>
            </w:pPr>
            <w:r>
              <w:rPr>
                <w:rFonts w:hint="eastAsia" w:ascii="宋体" w:hAnsi="宋体" w:eastAsia="宋体" w:cs="宋体"/>
                <w:bCs/>
                <w:color w:val="auto"/>
                <w:sz w:val="21"/>
                <w:szCs w:val="21"/>
              </w:rPr>
              <w:t>③</w:t>
            </w:r>
            <w:r>
              <w:rPr>
                <w:rFonts w:ascii="Times New Roman" w:eastAsia="宋体" w:cs="Times New Roman"/>
                <w:bCs/>
                <w:color w:val="auto"/>
                <w:sz w:val="21"/>
                <w:szCs w:val="21"/>
              </w:rPr>
              <w:t>反馈课前学习遇到的问题；</w:t>
            </w:r>
          </w:p>
          <w:p>
            <w:pPr>
              <w:pStyle w:val="48"/>
              <w:spacing w:line="288" w:lineRule="auto"/>
              <w:jc w:val="both"/>
              <w:rPr>
                <w:rFonts w:ascii="Times New Roman" w:eastAsia="宋体" w:cs="Times New Roman"/>
                <w:bCs/>
                <w:color w:val="auto"/>
                <w:sz w:val="21"/>
                <w:szCs w:val="21"/>
              </w:rPr>
            </w:pPr>
            <w:r>
              <w:rPr>
                <w:rFonts w:hint="eastAsia" w:ascii="宋体" w:hAnsi="宋体" w:eastAsia="宋体" w:cs="宋体"/>
                <w:bCs/>
                <w:color w:val="auto"/>
                <w:sz w:val="21"/>
                <w:szCs w:val="21"/>
              </w:rPr>
              <w:t>④</w:t>
            </w:r>
            <w:r>
              <w:rPr>
                <w:rFonts w:ascii="Times New Roman" w:eastAsia="宋体" w:cs="Times New Roman"/>
                <w:bCs/>
                <w:color w:val="auto"/>
                <w:sz w:val="21"/>
                <w:szCs w:val="21"/>
              </w:rPr>
              <w:t>案例讨论引出学习主题；</w:t>
            </w:r>
          </w:p>
          <w:p>
            <w:pPr>
              <w:pStyle w:val="48"/>
              <w:spacing w:line="288" w:lineRule="auto"/>
              <w:jc w:val="both"/>
              <w:rPr>
                <w:rFonts w:ascii="Times New Roman" w:eastAsia="宋体" w:cs="Times New Roman"/>
                <w:bCs/>
                <w:color w:val="auto"/>
                <w:sz w:val="21"/>
                <w:szCs w:val="21"/>
              </w:rPr>
            </w:pPr>
            <w:r>
              <w:rPr>
                <w:rFonts w:hint="eastAsia" w:ascii="宋体" w:hAnsi="宋体" w:eastAsia="宋体" w:cs="宋体"/>
                <w:bCs/>
                <w:color w:val="auto"/>
                <w:sz w:val="21"/>
                <w:szCs w:val="21"/>
              </w:rPr>
              <w:t>⑤</w:t>
            </w:r>
            <w:r>
              <w:rPr>
                <w:rFonts w:ascii="Times New Roman" w:eastAsia="宋体" w:cs="Times New Roman"/>
                <w:bCs/>
                <w:color w:val="auto"/>
                <w:sz w:val="21"/>
                <w:szCs w:val="21"/>
              </w:rPr>
              <w:t>小组讨论：风险类型思考、海损类型思考、循序渐进引导学生思考保险赔偿范围；</w:t>
            </w:r>
          </w:p>
          <w:p>
            <w:pPr>
              <w:pStyle w:val="48"/>
              <w:spacing w:line="288" w:lineRule="auto"/>
              <w:jc w:val="both"/>
              <w:rPr>
                <w:rFonts w:ascii="Times New Roman" w:eastAsia="宋体" w:cs="Times New Roman"/>
                <w:bCs/>
                <w:color w:val="auto"/>
                <w:sz w:val="21"/>
                <w:szCs w:val="21"/>
              </w:rPr>
            </w:pPr>
            <w:r>
              <w:rPr>
                <w:rFonts w:hint="eastAsia" w:ascii="宋体" w:hAnsi="宋体" w:eastAsia="宋体" w:cs="宋体"/>
                <w:bCs/>
                <w:color w:val="auto"/>
                <w:sz w:val="21"/>
                <w:szCs w:val="21"/>
              </w:rPr>
              <w:t>⑥</w:t>
            </w:r>
            <w:r>
              <w:rPr>
                <w:rFonts w:ascii="Times New Roman" w:eastAsia="宋体" w:cs="Times New Roman"/>
                <w:bCs/>
                <w:color w:val="auto"/>
                <w:sz w:val="21"/>
                <w:szCs w:val="21"/>
              </w:rPr>
              <w:t>完成爱课堂答题，并布置任务。</w:t>
            </w:r>
          </w:p>
          <w:p>
            <w:pPr>
              <w:pStyle w:val="48"/>
              <w:spacing w:line="288" w:lineRule="auto"/>
              <w:jc w:val="both"/>
              <w:rPr>
                <w:rFonts w:ascii="Times New Roman" w:eastAsia="宋体" w:cs="Times New Roman"/>
                <w:bCs/>
                <w:color w:val="auto"/>
                <w:sz w:val="21"/>
                <w:szCs w:val="21"/>
              </w:rPr>
            </w:pPr>
            <w:r>
              <w:rPr>
                <w:rFonts w:ascii="Times New Roman" w:eastAsia="宋体" w:cs="Times New Roman"/>
                <w:bCs/>
                <w:color w:val="auto"/>
                <w:sz w:val="21"/>
                <w:szCs w:val="21"/>
              </w:rPr>
              <w:t>2、学生任务</w:t>
            </w:r>
          </w:p>
          <w:p>
            <w:pPr>
              <w:pStyle w:val="48"/>
              <w:spacing w:line="288" w:lineRule="auto"/>
              <w:jc w:val="both"/>
              <w:rPr>
                <w:rFonts w:ascii="Times New Roman" w:eastAsia="宋体" w:cs="Times New Roman"/>
                <w:bCs/>
                <w:color w:val="auto"/>
                <w:sz w:val="21"/>
                <w:szCs w:val="21"/>
              </w:rPr>
            </w:pPr>
            <w:r>
              <w:rPr>
                <w:rFonts w:hint="eastAsia" w:ascii="宋体" w:hAnsi="宋体" w:eastAsia="宋体" w:cs="宋体"/>
                <w:bCs/>
                <w:color w:val="auto"/>
                <w:sz w:val="21"/>
                <w:szCs w:val="21"/>
              </w:rPr>
              <w:t>①</w:t>
            </w:r>
            <w:r>
              <w:rPr>
                <w:rFonts w:ascii="Times New Roman" w:eastAsia="宋体" w:cs="Times New Roman"/>
                <w:bCs/>
                <w:color w:val="auto"/>
                <w:sz w:val="21"/>
                <w:szCs w:val="21"/>
              </w:rPr>
              <w:t>课前观看FIF平台视频与课件；</w:t>
            </w:r>
          </w:p>
          <w:p>
            <w:pPr>
              <w:pStyle w:val="48"/>
              <w:spacing w:line="288" w:lineRule="auto"/>
              <w:jc w:val="both"/>
              <w:rPr>
                <w:rFonts w:ascii="Times New Roman" w:eastAsia="宋体" w:cs="Times New Roman"/>
                <w:bCs/>
                <w:color w:val="auto"/>
                <w:sz w:val="21"/>
                <w:szCs w:val="21"/>
              </w:rPr>
            </w:pPr>
            <w:r>
              <w:rPr>
                <w:rFonts w:hint="eastAsia" w:ascii="宋体" w:hAnsi="宋体" w:eastAsia="宋体" w:cs="宋体"/>
                <w:bCs/>
                <w:color w:val="auto"/>
                <w:sz w:val="21"/>
                <w:szCs w:val="21"/>
              </w:rPr>
              <w:t>②</w:t>
            </w:r>
            <w:r>
              <w:rPr>
                <w:rFonts w:ascii="Times New Roman" w:eastAsia="宋体" w:cs="Times New Roman"/>
                <w:bCs/>
                <w:color w:val="auto"/>
                <w:sz w:val="21"/>
                <w:szCs w:val="21"/>
              </w:rPr>
              <w:t>完成在线测试；</w:t>
            </w:r>
          </w:p>
          <w:p>
            <w:pPr>
              <w:pStyle w:val="48"/>
              <w:spacing w:line="288" w:lineRule="auto"/>
              <w:jc w:val="both"/>
              <w:rPr>
                <w:rFonts w:ascii="Times New Roman" w:eastAsia="宋体" w:cs="Times New Roman"/>
                <w:bCs/>
                <w:color w:val="auto"/>
                <w:sz w:val="21"/>
                <w:szCs w:val="21"/>
              </w:rPr>
            </w:pPr>
            <w:r>
              <w:rPr>
                <w:rFonts w:hint="eastAsia" w:ascii="宋体" w:hAnsi="宋体" w:eastAsia="宋体" w:cs="宋体"/>
                <w:bCs/>
                <w:color w:val="auto"/>
                <w:sz w:val="21"/>
                <w:szCs w:val="21"/>
              </w:rPr>
              <w:t>③</w:t>
            </w:r>
            <w:r>
              <w:rPr>
                <w:rFonts w:ascii="Times New Roman" w:eastAsia="宋体" w:cs="Times New Roman"/>
                <w:bCs/>
                <w:color w:val="auto"/>
                <w:sz w:val="21"/>
                <w:szCs w:val="21"/>
              </w:rPr>
              <w:t>小组讨论案例：判断属于何种损失、保险险种投保规范；</w:t>
            </w:r>
          </w:p>
          <w:p>
            <w:pPr>
              <w:pStyle w:val="48"/>
              <w:spacing w:line="288" w:lineRule="auto"/>
              <w:jc w:val="both"/>
              <w:rPr>
                <w:rFonts w:ascii="Times New Roman" w:eastAsia="宋体" w:cs="Times New Roman"/>
                <w:bCs/>
                <w:color w:val="auto"/>
                <w:sz w:val="21"/>
                <w:szCs w:val="21"/>
              </w:rPr>
            </w:pPr>
            <w:r>
              <w:rPr>
                <w:rFonts w:hint="eastAsia" w:ascii="宋体" w:hAnsi="宋体" w:eastAsia="宋体" w:cs="宋体"/>
                <w:bCs/>
                <w:color w:val="auto"/>
                <w:sz w:val="21"/>
                <w:szCs w:val="21"/>
              </w:rPr>
              <w:t>④</w:t>
            </w:r>
            <w:r>
              <w:rPr>
                <w:rFonts w:ascii="Times New Roman" w:eastAsia="宋体" w:cs="Times New Roman"/>
                <w:bCs/>
                <w:color w:val="auto"/>
                <w:sz w:val="21"/>
                <w:szCs w:val="21"/>
              </w:rPr>
              <w:t>思考：</w:t>
            </w:r>
            <w:r>
              <w:rPr>
                <w:rFonts w:ascii="Times New Roman" w:eastAsia="宋体" w:cs="Times New Roman"/>
                <w:bCs/>
                <w:sz w:val="21"/>
                <w:szCs w:val="21"/>
              </w:rPr>
              <w:t>约定险种应考虑的因素</w:t>
            </w:r>
            <w:r>
              <w:rPr>
                <w:rFonts w:ascii="Times New Roman" w:eastAsia="宋体" w:cs="Times New Roman"/>
                <w:bCs/>
                <w:color w:val="auto"/>
                <w:sz w:val="21"/>
                <w:szCs w:val="21"/>
              </w:rPr>
              <w:t>；</w:t>
            </w:r>
          </w:p>
          <w:p>
            <w:pPr>
              <w:pStyle w:val="48"/>
              <w:spacing w:line="288" w:lineRule="auto"/>
              <w:jc w:val="both"/>
              <w:rPr>
                <w:rFonts w:ascii="Times New Roman" w:eastAsia="宋体" w:cs="Times New Roman"/>
                <w:bCs/>
                <w:color w:val="auto"/>
                <w:sz w:val="21"/>
                <w:szCs w:val="21"/>
              </w:rPr>
            </w:pPr>
            <w:r>
              <w:rPr>
                <w:rFonts w:hint="eastAsia" w:ascii="宋体" w:hAnsi="宋体" w:eastAsia="宋体" w:cs="宋体"/>
                <w:bCs/>
                <w:color w:val="auto"/>
                <w:sz w:val="21"/>
                <w:szCs w:val="21"/>
              </w:rPr>
              <w:t>⑤</w:t>
            </w:r>
            <w:r>
              <w:rPr>
                <w:rFonts w:ascii="Times New Roman" w:eastAsia="宋体" w:cs="Times New Roman"/>
                <w:bCs/>
                <w:color w:val="auto"/>
                <w:sz w:val="21"/>
                <w:szCs w:val="21"/>
              </w:rPr>
              <w:t>课后查看中国货运保险网、进出口经理人公众号；</w:t>
            </w:r>
          </w:p>
          <w:p>
            <w:pPr>
              <w:pStyle w:val="48"/>
              <w:spacing w:line="288" w:lineRule="auto"/>
              <w:jc w:val="both"/>
              <w:rPr>
                <w:rFonts w:ascii="Times New Roman" w:eastAsia="宋体" w:cs="Times New Roman"/>
                <w:bCs/>
                <w:snapToGrid w:val="0"/>
                <w:color w:val="auto"/>
                <w:kern w:val="2"/>
                <w:sz w:val="21"/>
                <w:szCs w:val="21"/>
              </w:rPr>
            </w:pPr>
            <w:r>
              <w:rPr>
                <w:rFonts w:hint="eastAsia" w:ascii="宋体" w:hAnsi="宋体" w:eastAsia="宋体" w:cs="宋体"/>
                <w:bCs/>
                <w:color w:val="auto"/>
                <w:sz w:val="21"/>
                <w:szCs w:val="21"/>
              </w:rPr>
              <w:t>⑥</w:t>
            </w:r>
            <w:r>
              <w:rPr>
                <w:rFonts w:ascii="Times New Roman" w:eastAsia="宋体" w:cs="Times New Roman"/>
                <w:bCs/>
                <w:color w:val="auto"/>
                <w:sz w:val="21"/>
                <w:szCs w:val="21"/>
              </w:rPr>
              <w:t>思维导图，做好学习笔记。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28" w:type="dxa"/>
            <w:bottom w:w="28" w:type="dxa"/>
            <w:right w:w="28" w:type="dxa"/>
          </w:tblCellMar>
        </w:tblPrEx>
        <w:trPr>
          <w:trHeight w:val="20" w:hRule="atLeast"/>
          <w:jc w:val="center"/>
        </w:trPr>
        <w:tc>
          <w:tcPr>
            <w:tcW w:w="0" w:type="auto"/>
            <w:tcMar>
              <w:top w:w="57" w:type="dxa"/>
              <w:bottom w:w="57" w:type="dxa"/>
            </w:tcMar>
            <w:vAlign w:val="center"/>
          </w:tcPr>
          <w:p>
            <w:pPr>
              <w:spacing w:line="288" w:lineRule="auto"/>
              <w:jc w:val="center"/>
              <w:rPr>
                <w:rFonts w:ascii="Times New Roman" w:hAnsi="Times New Roman" w:eastAsia="宋体" w:cs="Times New Roman"/>
                <w:bCs/>
                <w:snapToGrid w:val="0"/>
                <w:szCs w:val="21"/>
              </w:rPr>
            </w:pPr>
            <w:r>
              <w:rPr>
                <w:rFonts w:ascii="Times New Roman" w:hAnsi="Times New Roman" w:eastAsia="宋体" w:cs="Times New Roman"/>
                <w:bCs/>
                <w:snapToGrid w:val="0"/>
                <w:szCs w:val="21"/>
              </w:rPr>
              <w:t>9</w:t>
            </w:r>
          </w:p>
        </w:tc>
        <w:tc>
          <w:tcPr>
            <w:tcW w:w="890" w:type="dxa"/>
            <w:vAlign w:val="center"/>
          </w:tcPr>
          <w:p>
            <w:pPr>
              <w:spacing w:line="288" w:lineRule="auto"/>
              <w:jc w:val="center"/>
              <w:rPr>
                <w:rFonts w:ascii="Times New Roman" w:hAnsi="Times New Roman" w:eastAsia="宋体" w:cs="Times New Roman"/>
                <w:bCs/>
                <w:snapToGrid w:val="0"/>
                <w:szCs w:val="21"/>
              </w:rPr>
            </w:pPr>
            <w:r>
              <w:rPr>
                <w:rFonts w:ascii="Times New Roman" w:hAnsi="Times New Roman" w:eastAsia="宋体" w:cs="Times New Roman"/>
                <w:bCs/>
                <w:snapToGrid w:val="0"/>
                <w:szCs w:val="21"/>
              </w:rPr>
              <w:t>实验五</w:t>
            </w:r>
          </w:p>
        </w:tc>
        <w:tc>
          <w:tcPr>
            <w:tcW w:w="3544" w:type="dxa"/>
            <w:tcMar>
              <w:top w:w="57" w:type="dxa"/>
              <w:bottom w:w="57" w:type="dxa"/>
            </w:tcMar>
            <w:vAlign w:val="center"/>
          </w:tcPr>
          <w:p>
            <w:pPr>
              <w:spacing w:line="288" w:lineRule="auto"/>
              <w:rPr>
                <w:rFonts w:ascii="Times New Roman" w:hAnsi="Times New Roman" w:eastAsia="宋体" w:cs="Times New Roman"/>
                <w:bCs/>
                <w:snapToGrid w:val="0"/>
                <w:szCs w:val="21"/>
              </w:rPr>
            </w:pPr>
            <w:r>
              <w:rPr>
                <w:rFonts w:ascii="Times New Roman" w:hAnsi="Times New Roman" w:eastAsia="宋体" w:cs="Times New Roman"/>
                <w:bCs/>
                <w:snapToGrid w:val="0"/>
                <w:szCs w:val="21"/>
              </w:rPr>
              <w:t>出口货物投保</w:t>
            </w:r>
          </w:p>
        </w:tc>
        <w:tc>
          <w:tcPr>
            <w:tcW w:w="5103" w:type="dxa"/>
            <w:tcMar>
              <w:top w:w="57" w:type="dxa"/>
              <w:bottom w:w="57" w:type="dxa"/>
            </w:tcMar>
            <w:vAlign w:val="center"/>
          </w:tcPr>
          <w:p>
            <w:pPr>
              <w:spacing w:line="288" w:lineRule="auto"/>
              <w:rPr>
                <w:rFonts w:ascii="Times New Roman" w:hAnsi="Times New Roman" w:eastAsia="宋体" w:cs="Times New Roman"/>
                <w:bCs/>
                <w:snapToGrid w:val="0"/>
                <w:szCs w:val="21"/>
              </w:rPr>
            </w:pPr>
            <w:r>
              <w:rPr>
                <w:rFonts w:ascii="Times New Roman" w:hAnsi="Times New Roman" w:eastAsia="宋体" w:cs="Times New Roman"/>
                <w:bCs/>
                <w:snapToGrid w:val="0"/>
                <w:szCs w:val="21"/>
              </w:rPr>
              <w:t>1、教学重点</w:t>
            </w:r>
          </w:p>
          <w:p>
            <w:pPr>
              <w:pStyle w:val="6"/>
              <w:spacing w:line="288" w:lineRule="auto"/>
              <w:ind w:firstLine="0" w:firstLineChars="0"/>
              <w:rPr>
                <w:bCs/>
                <w:sz w:val="21"/>
                <w:szCs w:val="21"/>
              </w:rPr>
            </w:pPr>
            <w:r>
              <w:rPr>
                <w:rFonts w:hint="eastAsia" w:ascii="宋体" w:hAnsi="宋体" w:cs="宋体"/>
                <w:bCs/>
                <w:sz w:val="21"/>
                <w:szCs w:val="21"/>
              </w:rPr>
              <w:t>①</w:t>
            </w:r>
            <w:r>
              <w:rPr>
                <w:bCs/>
                <w:sz w:val="21"/>
                <w:szCs w:val="21"/>
              </w:rPr>
              <w:t>了解全球十大财产保险公司；了解中国人民财产保险股份有限公司货运险条款；</w:t>
            </w:r>
          </w:p>
          <w:p>
            <w:pPr>
              <w:pStyle w:val="6"/>
              <w:spacing w:line="288" w:lineRule="auto"/>
              <w:ind w:firstLine="0" w:firstLineChars="0"/>
              <w:rPr>
                <w:bCs/>
                <w:sz w:val="21"/>
                <w:szCs w:val="21"/>
              </w:rPr>
            </w:pPr>
            <w:r>
              <w:rPr>
                <w:rFonts w:hint="eastAsia" w:ascii="宋体" w:hAnsi="宋体" w:cs="宋体"/>
                <w:bCs/>
                <w:sz w:val="21"/>
                <w:szCs w:val="21"/>
              </w:rPr>
              <w:t>②</w:t>
            </w:r>
            <w:r>
              <w:rPr>
                <w:bCs/>
                <w:sz w:val="21"/>
                <w:szCs w:val="21"/>
              </w:rPr>
              <w:t>根据贸易术语和货物，选择保险险种；</w:t>
            </w:r>
          </w:p>
          <w:p>
            <w:pPr>
              <w:pStyle w:val="6"/>
              <w:spacing w:line="288" w:lineRule="auto"/>
              <w:ind w:firstLine="0" w:firstLineChars="0"/>
              <w:rPr>
                <w:bCs/>
                <w:sz w:val="21"/>
                <w:szCs w:val="21"/>
              </w:rPr>
            </w:pPr>
            <w:r>
              <w:rPr>
                <w:rFonts w:hint="eastAsia" w:ascii="宋体" w:hAnsi="宋体" w:cs="宋体"/>
                <w:bCs/>
                <w:sz w:val="21"/>
                <w:szCs w:val="21"/>
              </w:rPr>
              <w:t>③</w:t>
            </w:r>
            <w:r>
              <w:rPr>
                <w:bCs/>
                <w:sz w:val="21"/>
                <w:szCs w:val="21"/>
              </w:rPr>
              <w:t>掌握保险单据各项目填制要求。</w:t>
            </w:r>
          </w:p>
          <w:p>
            <w:pPr>
              <w:spacing w:line="288" w:lineRule="auto"/>
              <w:rPr>
                <w:rFonts w:ascii="Times New Roman" w:hAnsi="Times New Roman" w:eastAsia="宋体" w:cs="Times New Roman"/>
                <w:bCs/>
                <w:snapToGrid w:val="0"/>
                <w:szCs w:val="21"/>
              </w:rPr>
            </w:pPr>
            <w:r>
              <w:rPr>
                <w:rFonts w:ascii="Times New Roman" w:hAnsi="Times New Roman" w:eastAsia="宋体" w:cs="Times New Roman"/>
                <w:bCs/>
                <w:snapToGrid w:val="0"/>
                <w:szCs w:val="21"/>
              </w:rPr>
              <w:t>2、教学难点</w:t>
            </w:r>
          </w:p>
          <w:p>
            <w:pPr>
              <w:pStyle w:val="6"/>
              <w:spacing w:line="288" w:lineRule="auto"/>
              <w:ind w:firstLine="0" w:firstLineChars="0"/>
              <w:rPr>
                <w:bCs/>
                <w:sz w:val="21"/>
                <w:szCs w:val="21"/>
              </w:rPr>
            </w:pPr>
            <w:r>
              <w:rPr>
                <w:rFonts w:hint="eastAsia" w:ascii="宋体" w:hAnsi="宋体" w:cs="宋体"/>
                <w:bCs/>
                <w:sz w:val="21"/>
                <w:szCs w:val="21"/>
              </w:rPr>
              <w:t>①</w:t>
            </w:r>
            <w:r>
              <w:rPr>
                <w:bCs/>
                <w:sz w:val="21"/>
                <w:szCs w:val="21"/>
              </w:rPr>
              <w:t>掌握交易磋商中有关保险条款的谈判；</w:t>
            </w:r>
          </w:p>
          <w:p>
            <w:pPr>
              <w:pStyle w:val="6"/>
              <w:spacing w:line="288" w:lineRule="auto"/>
              <w:ind w:firstLine="0" w:firstLineChars="0"/>
              <w:rPr>
                <w:bCs/>
                <w:sz w:val="21"/>
                <w:szCs w:val="21"/>
              </w:rPr>
            </w:pPr>
            <w:r>
              <w:rPr>
                <w:rFonts w:hint="eastAsia" w:ascii="宋体" w:hAnsi="宋体" w:cs="宋体"/>
                <w:bCs/>
                <w:sz w:val="21"/>
                <w:szCs w:val="21"/>
              </w:rPr>
              <w:t>②</w:t>
            </w:r>
            <w:r>
              <w:rPr>
                <w:bCs/>
                <w:sz w:val="21"/>
                <w:szCs w:val="21"/>
              </w:rPr>
              <w:t>根据资料填写保险单。</w:t>
            </w:r>
          </w:p>
          <w:p>
            <w:pPr>
              <w:spacing w:line="288" w:lineRule="auto"/>
              <w:rPr>
                <w:rFonts w:ascii="Times New Roman" w:hAnsi="Times New Roman" w:eastAsia="宋体" w:cs="Times New Roman"/>
                <w:bCs/>
                <w:snapToGrid w:val="0"/>
                <w:szCs w:val="21"/>
              </w:rPr>
            </w:pPr>
            <w:r>
              <w:rPr>
                <w:rFonts w:ascii="Times New Roman" w:hAnsi="Times New Roman" w:eastAsia="宋体" w:cs="Times New Roman"/>
                <w:bCs/>
                <w:snapToGrid w:val="0"/>
                <w:szCs w:val="21"/>
              </w:rPr>
              <w:t>3、教学方法：</w:t>
            </w:r>
            <w:r>
              <w:rPr>
                <w:rFonts w:ascii="Times New Roman" w:hAnsi="Times New Roman" w:eastAsia="宋体" w:cs="Times New Roman"/>
                <w:bCs/>
                <w:kern w:val="0"/>
                <w:szCs w:val="21"/>
              </w:rPr>
              <w:t>实验、角色扮演、多媒体演示。</w:t>
            </w:r>
          </w:p>
        </w:tc>
        <w:tc>
          <w:tcPr>
            <w:tcW w:w="3864" w:type="dxa"/>
            <w:tcMar>
              <w:top w:w="57" w:type="dxa"/>
              <w:bottom w:w="57" w:type="dxa"/>
            </w:tcMar>
            <w:vAlign w:val="center"/>
          </w:tcPr>
          <w:p>
            <w:pPr>
              <w:pStyle w:val="48"/>
              <w:spacing w:line="288" w:lineRule="auto"/>
              <w:jc w:val="both"/>
              <w:rPr>
                <w:rFonts w:ascii="Times New Roman" w:eastAsia="宋体" w:cs="Times New Roman"/>
                <w:bCs/>
                <w:color w:val="auto"/>
                <w:sz w:val="21"/>
                <w:szCs w:val="21"/>
              </w:rPr>
            </w:pPr>
            <w:r>
              <w:rPr>
                <w:rFonts w:ascii="Times New Roman" w:eastAsia="宋体" w:cs="Times New Roman"/>
                <w:bCs/>
                <w:color w:val="auto"/>
                <w:sz w:val="21"/>
                <w:szCs w:val="21"/>
              </w:rPr>
              <w:t>1、教师任务</w:t>
            </w:r>
          </w:p>
          <w:p>
            <w:pPr>
              <w:pStyle w:val="48"/>
              <w:spacing w:line="288" w:lineRule="auto"/>
              <w:jc w:val="both"/>
              <w:rPr>
                <w:rFonts w:ascii="Times New Roman" w:eastAsia="宋体" w:cs="Times New Roman"/>
                <w:bCs/>
                <w:color w:val="auto"/>
                <w:sz w:val="21"/>
                <w:szCs w:val="21"/>
              </w:rPr>
            </w:pPr>
            <w:r>
              <w:rPr>
                <w:rFonts w:hint="eastAsia" w:ascii="宋体" w:hAnsi="宋体" w:eastAsia="宋体" w:cs="宋体"/>
                <w:bCs/>
                <w:color w:val="auto"/>
                <w:sz w:val="21"/>
                <w:szCs w:val="21"/>
              </w:rPr>
              <w:t>①</w:t>
            </w:r>
            <w:r>
              <w:rPr>
                <w:rFonts w:ascii="Times New Roman" w:eastAsia="宋体" w:cs="Times New Roman"/>
                <w:bCs/>
                <w:color w:val="auto"/>
                <w:sz w:val="21"/>
                <w:szCs w:val="21"/>
              </w:rPr>
              <w:t>总结所学及反馈遇到问题；</w:t>
            </w:r>
          </w:p>
          <w:p>
            <w:pPr>
              <w:pStyle w:val="48"/>
              <w:spacing w:line="288" w:lineRule="auto"/>
              <w:jc w:val="both"/>
              <w:rPr>
                <w:rFonts w:ascii="Times New Roman" w:eastAsia="宋体" w:cs="Times New Roman"/>
                <w:bCs/>
                <w:color w:val="auto"/>
                <w:sz w:val="21"/>
                <w:szCs w:val="21"/>
              </w:rPr>
            </w:pPr>
            <w:r>
              <w:rPr>
                <w:rFonts w:hint="eastAsia" w:ascii="宋体" w:hAnsi="宋体" w:eastAsia="宋体" w:cs="宋体"/>
                <w:bCs/>
                <w:color w:val="auto"/>
                <w:sz w:val="21"/>
                <w:szCs w:val="21"/>
              </w:rPr>
              <w:t>②</w:t>
            </w:r>
            <w:r>
              <w:rPr>
                <w:rFonts w:ascii="Times New Roman" w:eastAsia="宋体" w:cs="Times New Roman"/>
                <w:bCs/>
                <w:color w:val="auto"/>
                <w:sz w:val="21"/>
                <w:szCs w:val="21"/>
              </w:rPr>
              <w:t>介绍实验安排与实验目的；</w:t>
            </w:r>
          </w:p>
          <w:p>
            <w:pPr>
              <w:pStyle w:val="48"/>
              <w:spacing w:line="288" w:lineRule="auto"/>
              <w:jc w:val="both"/>
              <w:rPr>
                <w:rFonts w:ascii="Times New Roman" w:eastAsia="宋体" w:cs="Times New Roman"/>
                <w:bCs/>
                <w:color w:val="auto"/>
                <w:sz w:val="21"/>
                <w:szCs w:val="21"/>
              </w:rPr>
            </w:pPr>
            <w:r>
              <w:rPr>
                <w:rFonts w:hint="eastAsia" w:ascii="宋体" w:hAnsi="宋体" w:eastAsia="宋体" w:cs="宋体"/>
                <w:bCs/>
                <w:color w:val="auto"/>
                <w:sz w:val="21"/>
                <w:szCs w:val="21"/>
              </w:rPr>
              <w:t>③</w:t>
            </w:r>
            <w:r>
              <w:rPr>
                <w:rFonts w:ascii="Times New Roman" w:eastAsia="宋体" w:cs="Times New Roman"/>
                <w:bCs/>
                <w:color w:val="auto"/>
                <w:sz w:val="21"/>
                <w:szCs w:val="21"/>
              </w:rPr>
              <w:t>组织学生完成实验项目任务；</w:t>
            </w:r>
          </w:p>
          <w:p>
            <w:pPr>
              <w:pStyle w:val="48"/>
              <w:spacing w:line="288" w:lineRule="auto"/>
              <w:jc w:val="both"/>
              <w:rPr>
                <w:rFonts w:ascii="Times New Roman" w:eastAsia="宋体" w:cs="Times New Roman"/>
                <w:bCs/>
                <w:color w:val="auto"/>
                <w:sz w:val="21"/>
                <w:szCs w:val="21"/>
              </w:rPr>
            </w:pPr>
            <w:r>
              <w:rPr>
                <w:rFonts w:hint="eastAsia" w:ascii="宋体" w:hAnsi="宋体" w:eastAsia="宋体" w:cs="宋体"/>
                <w:bCs/>
                <w:color w:val="auto"/>
                <w:sz w:val="21"/>
                <w:szCs w:val="21"/>
              </w:rPr>
              <w:t>④</w:t>
            </w:r>
            <w:r>
              <w:rPr>
                <w:rFonts w:ascii="Times New Roman" w:eastAsia="宋体" w:cs="Times New Roman"/>
                <w:bCs/>
                <w:color w:val="auto"/>
                <w:sz w:val="21"/>
                <w:szCs w:val="21"/>
              </w:rPr>
              <w:t>教学反思。</w:t>
            </w:r>
          </w:p>
          <w:p>
            <w:pPr>
              <w:pStyle w:val="48"/>
              <w:spacing w:line="288" w:lineRule="auto"/>
              <w:jc w:val="both"/>
              <w:rPr>
                <w:rFonts w:ascii="Times New Roman" w:eastAsia="宋体" w:cs="Times New Roman"/>
                <w:bCs/>
                <w:color w:val="auto"/>
                <w:sz w:val="21"/>
                <w:szCs w:val="21"/>
              </w:rPr>
            </w:pPr>
            <w:r>
              <w:rPr>
                <w:rFonts w:ascii="Times New Roman" w:eastAsia="宋体" w:cs="Times New Roman"/>
                <w:bCs/>
                <w:color w:val="auto"/>
                <w:sz w:val="21"/>
                <w:szCs w:val="21"/>
              </w:rPr>
              <w:t>2、学生任务</w:t>
            </w:r>
          </w:p>
          <w:p>
            <w:pPr>
              <w:pStyle w:val="48"/>
              <w:spacing w:line="288" w:lineRule="auto"/>
              <w:jc w:val="both"/>
              <w:rPr>
                <w:rFonts w:ascii="Times New Roman" w:eastAsia="宋体" w:cs="Times New Roman"/>
                <w:bCs/>
                <w:color w:val="auto"/>
                <w:sz w:val="21"/>
                <w:szCs w:val="21"/>
              </w:rPr>
            </w:pPr>
            <w:r>
              <w:rPr>
                <w:rFonts w:hint="eastAsia" w:ascii="宋体" w:hAnsi="宋体" w:eastAsia="宋体" w:cs="宋体"/>
                <w:bCs/>
                <w:color w:val="auto"/>
                <w:sz w:val="21"/>
                <w:szCs w:val="21"/>
              </w:rPr>
              <w:t>①</w:t>
            </w:r>
            <w:r>
              <w:rPr>
                <w:rFonts w:ascii="Times New Roman" w:eastAsia="宋体" w:cs="Times New Roman"/>
                <w:bCs/>
                <w:color w:val="auto"/>
                <w:sz w:val="21"/>
                <w:szCs w:val="21"/>
              </w:rPr>
              <w:t>课前做好国际货物运输保险理论知识复习；</w:t>
            </w:r>
          </w:p>
          <w:p>
            <w:pPr>
              <w:pStyle w:val="48"/>
              <w:spacing w:line="288" w:lineRule="auto"/>
              <w:jc w:val="both"/>
              <w:rPr>
                <w:rFonts w:ascii="Times New Roman" w:eastAsia="宋体" w:cs="Times New Roman"/>
                <w:bCs/>
                <w:color w:val="auto"/>
                <w:sz w:val="21"/>
                <w:szCs w:val="21"/>
              </w:rPr>
            </w:pPr>
            <w:r>
              <w:rPr>
                <w:rFonts w:hint="eastAsia" w:ascii="宋体" w:hAnsi="宋体" w:eastAsia="宋体" w:cs="宋体"/>
                <w:bCs/>
                <w:color w:val="auto"/>
                <w:sz w:val="21"/>
                <w:szCs w:val="21"/>
              </w:rPr>
              <w:t>②</w:t>
            </w:r>
            <w:r>
              <w:rPr>
                <w:rFonts w:ascii="Times New Roman" w:eastAsia="宋体" w:cs="Times New Roman"/>
                <w:bCs/>
                <w:color w:val="auto"/>
                <w:sz w:val="21"/>
                <w:szCs w:val="21"/>
              </w:rPr>
              <w:t>查阅中国国际货运保险现状；</w:t>
            </w:r>
          </w:p>
          <w:p>
            <w:pPr>
              <w:pStyle w:val="48"/>
              <w:spacing w:line="288" w:lineRule="auto"/>
              <w:jc w:val="both"/>
              <w:rPr>
                <w:rFonts w:ascii="Times New Roman" w:eastAsia="宋体" w:cs="Times New Roman"/>
                <w:bCs/>
                <w:color w:val="auto"/>
                <w:sz w:val="21"/>
                <w:szCs w:val="21"/>
              </w:rPr>
            </w:pPr>
            <w:r>
              <w:rPr>
                <w:rFonts w:hint="eastAsia" w:ascii="宋体" w:hAnsi="宋体" w:eastAsia="宋体" w:cs="宋体"/>
                <w:bCs/>
                <w:color w:val="auto"/>
                <w:sz w:val="21"/>
                <w:szCs w:val="21"/>
              </w:rPr>
              <w:t>③</w:t>
            </w:r>
            <w:r>
              <w:rPr>
                <w:rFonts w:ascii="Times New Roman" w:eastAsia="宋体" w:cs="Times New Roman"/>
                <w:bCs/>
                <w:color w:val="auto"/>
                <w:sz w:val="21"/>
                <w:szCs w:val="21"/>
              </w:rPr>
              <w:t>以进出口商角色进行模拟为自己的货物投保，填制保险单；</w:t>
            </w:r>
          </w:p>
          <w:p>
            <w:pPr>
              <w:pStyle w:val="48"/>
              <w:spacing w:line="288" w:lineRule="auto"/>
              <w:jc w:val="both"/>
              <w:rPr>
                <w:rFonts w:ascii="Times New Roman" w:eastAsia="宋体" w:cs="Times New Roman"/>
                <w:bCs/>
                <w:snapToGrid w:val="0"/>
                <w:color w:val="auto"/>
                <w:kern w:val="2"/>
                <w:sz w:val="21"/>
                <w:szCs w:val="21"/>
              </w:rPr>
            </w:pPr>
            <w:r>
              <w:rPr>
                <w:rFonts w:hint="eastAsia" w:ascii="宋体" w:hAnsi="宋体" w:eastAsia="宋体" w:cs="宋体"/>
                <w:bCs/>
                <w:color w:val="auto"/>
                <w:sz w:val="21"/>
                <w:szCs w:val="21"/>
              </w:rPr>
              <w:t>④</w:t>
            </w:r>
            <w:r>
              <w:rPr>
                <w:rFonts w:ascii="Times New Roman" w:eastAsia="宋体" w:cs="Times New Roman"/>
                <w:bCs/>
                <w:color w:val="auto"/>
                <w:sz w:val="21"/>
                <w:szCs w:val="21"/>
              </w:rPr>
              <w:t>撰写实验报告，做好学习笔记。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28" w:type="dxa"/>
            <w:bottom w:w="28" w:type="dxa"/>
            <w:right w:w="28" w:type="dxa"/>
          </w:tblCellMar>
        </w:tblPrEx>
        <w:trPr>
          <w:trHeight w:val="20" w:hRule="atLeast"/>
          <w:jc w:val="center"/>
        </w:trPr>
        <w:tc>
          <w:tcPr>
            <w:tcW w:w="0" w:type="auto"/>
            <w:tcMar>
              <w:top w:w="57" w:type="dxa"/>
              <w:bottom w:w="57" w:type="dxa"/>
            </w:tcMar>
            <w:vAlign w:val="center"/>
          </w:tcPr>
          <w:p>
            <w:pPr>
              <w:spacing w:line="288" w:lineRule="auto"/>
              <w:jc w:val="center"/>
              <w:rPr>
                <w:rFonts w:ascii="Times New Roman" w:hAnsi="Times New Roman" w:eastAsia="宋体" w:cs="Times New Roman"/>
                <w:bCs/>
                <w:snapToGrid w:val="0"/>
                <w:szCs w:val="21"/>
              </w:rPr>
            </w:pPr>
            <w:r>
              <w:rPr>
                <w:rFonts w:ascii="Times New Roman" w:hAnsi="Times New Roman" w:eastAsia="宋体" w:cs="Times New Roman"/>
                <w:bCs/>
                <w:snapToGrid w:val="0"/>
                <w:szCs w:val="21"/>
              </w:rPr>
              <w:t>10</w:t>
            </w:r>
          </w:p>
        </w:tc>
        <w:tc>
          <w:tcPr>
            <w:tcW w:w="890" w:type="dxa"/>
            <w:vAlign w:val="center"/>
          </w:tcPr>
          <w:p>
            <w:pPr>
              <w:spacing w:line="288" w:lineRule="auto"/>
              <w:jc w:val="center"/>
              <w:rPr>
                <w:rFonts w:ascii="Times New Roman" w:hAnsi="Times New Roman" w:eastAsia="宋体" w:cs="Times New Roman"/>
                <w:bCs/>
                <w:snapToGrid w:val="0"/>
                <w:szCs w:val="21"/>
              </w:rPr>
            </w:pPr>
            <w:r>
              <w:rPr>
                <w:rFonts w:ascii="Times New Roman" w:hAnsi="Times New Roman" w:eastAsia="宋体" w:cs="Times New Roman"/>
                <w:bCs/>
                <w:snapToGrid w:val="0"/>
                <w:szCs w:val="21"/>
              </w:rPr>
              <w:t>第六章</w:t>
            </w:r>
          </w:p>
          <w:p>
            <w:pPr>
              <w:pStyle w:val="6"/>
              <w:spacing w:line="288" w:lineRule="auto"/>
              <w:ind w:firstLine="0" w:firstLineChars="0"/>
              <w:jc w:val="center"/>
              <w:rPr>
                <w:bCs/>
                <w:sz w:val="21"/>
                <w:szCs w:val="21"/>
              </w:rPr>
            </w:pPr>
            <w:r>
              <w:rPr>
                <w:bCs/>
                <w:snapToGrid w:val="0"/>
                <w:sz w:val="21"/>
                <w:szCs w:val="21"/>
              </w:rPr>
              <w:t>国际货款支付与结算</w:t>
            </w:r>
          </w:p>
        </w:tc>
        <w:tc>
          <w:tcPr>
            <w:tcW w:w="3544" w:type="dxa"/>
            <w:tcMar>
              <w:top w:w="57" w:type="dxa"/>
              <w:bottom w:w="57" w:type="dxa"/>
            </w:tcMar>
            <w:vAlign w:val="center"/>
          </w:tcPr>
          <w:p>
            <w:pPr>
              <w:spacing w:line="288" w:lineRule="auto"/>
              <w:rPr>
                <w:rFonts w:ascii="Times New Roman" w:hAnsi="Times New Roman" w:eastAsia="宋体" w:cs="Times New Roman"/>
                <w:bCs/>
                <w:snapToGrid w:val="0"/>
                <w:szCs w:val="21"/>
              </w:rPr>
            </w:pPr>
            <w:r>
              <w:rPr>
                <w:rFonts w:ascii="Times New Roman" w:hAnsi="Times New Roman" w:eastAsia="宋体" w:cs="Times New Roman"/>
                <w:bCs/>
                <w:snapToGrid w:val="0"/>
                <w:szCs w:val="21"/>
              </w:rPr>
              <w:t>1、支付工具</w:t>
            </w:r>
          </w:p>
          <w:p>
            <w:pPr>
              <w:spacing w:line="288" w:lineRule="auto"/>
              <w:rPr>
                <w:rFonts w:ascii="Times New Roman" w:hAnsi="Times New Roman" w:eastAsia="宋体" w:cs="Times New Roman"/>
                <w:bCs/>
                <w:snapToGrid w:val="0"/>
                <w:szCs w:val="21"/>
              </w:rPr>
            </w:pPr>
            <w:r>
              <w:rPr>
                <w:rFonts w:ascii="Times New Roman" w:hAnsi="Times New Roman" w:eastAsia="宋体" w:cs="Times New Roman"/>
                <w:bCs/>
                <w:snapToGrid w:val="0"/>
                <w:szCs w:val="21"/>
              </w:rPr>
              <w:t>2、汇付</w:t>
            </w:r>
          </w:p>
          <w:p>
            <w:pPr>
              <w:spacing w:line="288" w:lineRule="auto"/>
              <w:rPr>
                <w:rFonts w:ascii="Times New Roman" w:hAnsi="Times New Roman" w:eastAsia="宋体" w:cs="Times New Roman"/>
                <w:bCs/>
                <w:snapToGrid w:val="0"/>
                <w:szCs w:val="21"/>
              </w:rPr>
            </w:pPr>
            <w:r>
              <w:rPr>
                <w:rFonts w:ascii="Times New Roman" w:hAnsi="Times New Roman" w:eastAsia="宋体" w:cs="Times New Roman"/>
                <w:bCs/>
                <w:snapToGrid w:val="0"/>
                <w:szCs w:val="21"/>
              </w:rPr>
              <w:t>3、托收</w:t>
            </w:r>
          </w:p>
          <w:p>
            <w:pPr>
              <w:spacing w:line="288" w:lineRule="auto"/>
              <w:rPr>
                <w:rFonts w:ascii="Times New Roman" w:hAnsi="Times New Roman" w:eastAsia="宋体" w:cs="Times New Roman"/>
                <w:bCs/>
                <w:snapToGrid w:val="0"/>
                <w:szCs w:val="21"/>
              </w:rPr>
            </w:pPr>
            <w:r>
              <w:rPr>
                <w:rFonts w:ascii="Times New Roman" w:hAnsi="Times New Roman" w:eastAsia="宋体" w:cs="Times New Roman"/>
                <w:bCs/>
                <w:snapToGrid w:val="0"/>
                <w:szCs w:val="21"/>
              </w:rPr>
              <w:t>4、信用证</w:t>
            </w:r>
          </w:p>
        </w:tc>
        <w:tc>
          <w:tcPr>
            <w:tcW w:w="5103" w:type="dxa"/>
            <w:tcMar>
              <w:top w:w="57" w:type="dxa"/>
              <w:bottom w:w="57" w:type="dxa"/>
            </w:tcMar>
            <w:vAlign w:val="center"/>
          </w:tcPr>
          <w:p>
            <w:pPr>
              <w:spacing w:line="288" w:lineRule="auto"/>
              <w:rPr>
                <w:rFonts w:ascii="Times New Roman" w:hAnsi="Times New Roman" w:eastAsia="宋体" w:cs="Times New Roman"/>
                <w:bCs/>
                <w:snapToGrid w:val="0"/>
                <w:szCs w:val="21"/>
              </w:rPr>
            </w:pPr>
            <w:r>
              <w:rPr>
                <w:rFonts w:ascii="Times New Roman" w:hAnsi="Times New Roman" w:eastAsia="宋体" w:cs="Times New Roman"/>
                <w:bCs/>
                <w:snapToGrid w:val="0"/>
                <w:szCs w:val="21"/>
              </w:rPr>
              <w:t>1、教学重点</w:t>
            </w:r>
          </w:p>
          <w:p>
            <w:pPr>
              <w:pStyle w:val="6"/>
              <w:spacing w:line="288" w:lineRule="auto"/>
              <w:ind w:firstLine="0" w:firstLineChars="0"/>
              <w:rPr>
                <w:bCs/>
                <w:sz w:val="21"/>
                <w:szCs w:val="21"/>
              </w:rPr>
            </w:pPr>
            <w:r>
              <w:rPr>
                <w:rFonts w:hint="eastAsia" w:ascii="宋体" w:hAnsi="宋体" w:cs="宋体"/>
                <w:bCs/>
                <w:sz w:val="21"/>
                <w:szCs w:val="21"/>
              </w:rPr>
              <w:t>①</w:t>
            </w:r>
            <w:r>
              <w:rPr>
                <w:bCs/>
                <w:sz w:val="21"/>
                <w:szCs w:val="21"/>
              </w:rPr>
              <w:t>了解国际货款各种支付工具的性质及作用；</w:t>
            </w:r>
          </w:p>
          <w:p>
            <w:pPr>
              <w:pStyle w:val="6"/>
              <w:spacing w:line="288" w:lineRule="auto"/>
              <w:ind w:firstLine="0" w:firstLineChars="0"/>
              <w:rPr>
                <w:bCs/>
                <w:sz w:val="21"/>
                <w:szCs w:val="21"/>
              </w:rPr>
            </w:pPr>
            <w:r>
              <w:rPr>
                <w:rFonts w:hint="eastAsia" w:ascii="宋体" w:hAnsi="宋体" w:cs="宋体"/>
                <w:bCs/>
                <w:sz w:val="21"/>
                <w:szCs w:val="21"/>
              </w:rPr>
              <w:t>②</w:t>
            </w:r>
            <w:r>
              <w:rPr>
                <w:bCs/>
                <w:sz w:val="21"/>
                <w:szCs w:val="21"/>
              </w:rPr>
              <w:t>汇票、本票和支票的含义、种类；</w:t>
            </w:r>
          </w:p>
          <w:p>
            <w:pPr>
              <w:pStyle w:val="6"/>
              <w:spacing w:line="288" w:lineRule="auto"/>
              <w:ind w:firstLine="0" w:firstLineChars="0"/>
              <w:rPr>
                <w:bCs/>
                <w:sz w:val="21"/>
                <w:szCs w:val="21"/>
              </w:rPr>
            </w:pPr>
            <w:r>
              <w:rPr>
                <w:rFonts w:hint="eastAsia" w:ascii="宋体" w:hAnsi="宋体" w:cs="宋体"/>
                <w:bCs/>
                <w:sz w:val="21"/>
                <w:szCs w:val="21"/>
              </w:rPr>
              <w:t>③</w:t>
            </w:r>
            <w:r>
              <w:rPr>
                <w:bCs/>
                <w:sz w:val="21"/>
                <w:szCs w:val="21"/>
              </w:rPr>
              <w:t>明确汇票的主要记载项目；</w:t>
            </w:r>
          </w:p>
          <w:p>
            <w:pPr>
              <w:pStyle w:val="6"/>
              <w:spacing w:line="288" w:lineRule="auto"/>
              <w:ind w:firstLine="0" w:firstLineChars="0"/>
              <w:rPr>
                <w:bCs/>
                <w:sz w:val="21"/>
                <w:szCs w:val="21"/>
              </w:rPr>
            </w:pPr>
            <w:r>
              <w:rPr>
                <w:rFonts w:hint="eastAsia" w:ascii="宋体" w:hAnsi="宋体" w:cs="宋体"/>
                <w:bCs/>
                <w:sz w:val="21"/>
                <w:szCs w:val="21"/>
              </w:rPr>
              <w:t>④</w:t>
            </w:r>
            <w:r>
              <w:rPr>
                <w:bCs/>
                <w:sz w:val="21"/>
                <w:szCs w:val="21"/>
              </w:rPr>
              <w:t>汇付、托收的性质、特点和当事人的责任；</w:t>
            </w:r>
          </w:p>
          <w:p>
            <w:pPr>
              <w:pStyle w:val="6"/>
              <w:spacing w:line="288" w:lineRule="auto"/>
              <w:ind w:firstLine="0" w:firstLineChars="0"/>
              <w:rPr>
                <w:bCs/>
                <w:sz w:val="21"/>
                <w:szCs w:val="21"/>
              </w:rPr>
            </w:pPr>
            <w:r>
              <w:rPr>
                <w:rFonts w:hint="eastAsia" w:ascii="宋体" w:hAnsi="宋体" w:cs="宋体"/>
                <w:bCs/>
                <w:sz w:val="21"/>
                <w:szCs w:val="21"/>
              </w:rPr>
              <w:t>⑤</w:t>
            </w:r>
            <w:r>
              <w:rPr>
                <w:bCs/>
                <w:sz w:val="21"/>
                <w:szCs w:val="21"/>
              </w:rPr>
              <w:t>信用证的概念和种类、UCP600。</w:t>
            </w:r>
          </w:p>
          <w:p>
            <w:pPr>
              <w:spacing w:line="288" w:lineRule="auto"/>
              <w:rPr>
                <w:rFonts w:ascii="Times New Roman" w:hAnsi="Times New Roman" w:eastAsia="宋体" w:cs="Times New Roman"/>
                <w:bCs/>
                <w:snapToGrid w:val="0"/>
                <w:szCs w:val="21"/>
              </w:rPr>
            </w:pPr>
            <w:r>
              <w:rPr>
                <w:rFonts w:ascii="Times New Roman" w:hAnsi="Times New Roman" w:eastAsia="宋体" w:cs="Times New Roman"/>
                <w:bCs/>
                <w:snapToGrid w:val="0"/>
                <w:szCs w:val="21"/>
              </w:rPr>
              <w:t>2、教学难点</w:t>
            </w:r>
          </w:p>
          <w:p>
            <w:pPr>
              <w:pStyle w:val="6"/>
              <w:spacing w:line="288" w:lineRule="auto"/>
              <w:ind w:firstLine="0" w:firstLineChars="0"/>
              <w:rPr>
                <w:bCs/>
                <w:sz w:val="21"/>
                <w:szCs w:val="21"/>
              </w:rPr>
            </w:pPr>
            <w:r>
              <w:rPr>
                <w:rFonts w:hint="eastAsia" w:ascii="宋体" w:hAnsi="宋体" w:cs="宋体"/>
                <w:bCs/>
                <w:sz w:val="21"/>
                <w:szCs w:val="21"/>
              </w:rPr>
              <w:t>①</w:t>
            </w:r>
            <w:r>
              <w:rPr>
                <w:bCs/>
                <w:sz w:val="21"/>
                <w:szCs w:val="21"/>
              </w:rPr>
              <w:t>判断汇票、本票与支票的异同点；</w:t>
            </w:r>
          </w:p>
          <w:p>
            <w:pPr>
              <w:pStyle w:val="6"/>
              <w:spacing w:line="288" w:lineRule="auto"/>
              <w:ind w:firstLine="0" w:firstLineChars="0"/>
              <w:rPr>
                <w:bCs/>
                <w:sz w:val="21"/>
                <w:szCs w:val="21"/>
              </w:rPr>
            </w:pPr>
            <w:r>
              <w:rPr>
                <w:rFonts w:hint="eastAsia" w:ascii="宋体" w:hAnsi="宋体" w:cs="宋体"/>
                <w:bCs/>
                <w:sz w:val="21"/>
                <w:szCs w:val="21"/>
              </w:rPr>
              <w:t>②</w:t>
            </w:r>
            <w:r>
              <w:rPr>
                <w:bCs/>
                <w:sz w:val="21"/>
                <w:szCs w:val="21"/>
              </w:rPr>
              <w:t>信用证的性质与特点、当事人、主要内容及业务流程；</w:t>
            </w:r>
          </w:p>
          <w:p>
            <w:pPr>
              <w:pStyle w:val="6"/>
              <w:spacing w:line="288" w:lineRule="auto"/>
              <w:ind w:firstLine="0" w:firstLineChars="0"/>
              <w:rPr>
                <w:bCs/>
                <w:sz w:val="21"/>
                <w:szCs w:val="21"/>
              </w:rPr>
            </w:pPr>
            <w:r>
              <w:rPr>
                <w:rFonts w:hint="eastAsia" w:ascii="宋体" w:hAnsi="宋体" w:cs="宋体"/>
                <w:bCs/>
                <w:sz w:val="21"/>
                <w:szCs w:val="21"/>
              </w:rPr>
              <w:t>③</w:t>
            </w:r>
            <w:r>
              <w:rPr>
                <w:bCs/>
                <w:sz w:val="21"/>
                <w:szCs w:val="21"/>
              </w:rPr>
              <w:t>几种结算方式的比较、风险防范；</w:t>
            </w:r>
          </w:p>
          <w:p>
            <w:pPr>
              <w:pStyle w:val="6"/>
              <w:spacing w:line="288" w:lineRule="auto"/>
              <w:ind w:firstLine="0" w:firstLineChars="0"/>
              <w:rPr>
                <w:bCs/>
                <w:sz w:val="21"/>
                <w:szCs w:val="21"/>
              </w:rPr>
            </w:pPr>
            <w:r>
              <w:rPr>
                <w:rFonts w:hint="eastAsia" w:ascii="宋体" w:hAnsi="宋体" w:cs="宋体"/>
                <w:bCs/>
                <w:sz w:val="21"/>
                <w:szCs w:val="21"/>
              </w:rPr>
              <w:t>④</w:t>
            </w:r>
            <w:r>
              <w:rPr>
                <w:bCs/>
                <w:sz w:val="21"/>
                <w:szCs w:val="21"/>
              </w:rPr>
              <w:t>课程思政：诚信为本、及时交单、及时付款，爱岗敬业、诚信守法。</w:t>
            </w:r>
          </w:p>
          <w:p>
            <w:pPr>
              <w:spacing w:line="288" w:lineRule="auto"/>
              <w:rPr>
                <w:rFonts w:ascii="Times New Roman" w:hAnsi="Times New Roman" w:eastAsia="宋体" w:cs="Times New Roman"/>
                <w:bCs/>
                <w:snapToGrid w:val="0"/>
                <w:szCs w:val="21"/>
              </w:rPr>
            </w:pPr>
            <w:r>
              <w:rPr>
                <w:rFonts w:ascii="Times New Roman" w:hAnsi="Times New Roman" w:eastAsia="宋体" w:cs="Times New Roman"/>
                <w:bCs/>
                <w:snapToGrid w:val="0"/>
                <w:szCs w:val="21"/>
              </w:rPr>
              <w:t>3、教学方法：线上资源平台、</w:t>
            </w:r>
            <w:r>
              <w:rPr>
                <w:rFonts w:ascii="Times New Roman" w:hAnsi="Times New Roman" w:eastAsia="宋体" w:cs="Times New Roman"/>
                <w:bCs/>
                <w:color w:val="000000"/>
                <w:kern w:val="0"/>
                <w:szCs w:val="21"/>
              </w:rPr>
              <w:t>讲授、交流讨论、案例分析、多媒体演示、板书。</w:t>
            </w:r>
          </w:p>
        </w:tc>
        <w:tc>
          <w:tcPr>
            <w:tcW w:w="3864" w:type="dxa"/>
            <w:tcMar>
              <w:top w:w="57" w:type="dxa"/>
              <w:bottom w:w="57" w:type="dxa"/>
            </w:tcMar>
            <w:vAlign w:val="center"/>
          </w:tcPr>
          <w:p>
            <w:pPr>
              <w:pStyle w:val="48"/>
              <w:spacing w:line="288" w:lineRule="auto"/>
              <w:jc w:val="both"/>
              <w:rPr>
                <w:rFonts w:ascii="Times New Roman" w:eastAsia="宋体" w:cs="Times New Roman"/>
                <w:bCs/>
                <w:sz w:val="21"/>
                <w:szCs w:val="21"/>
              </w:rPr>
            </w:pPr>
            <w:r>
              <w:rPr>
                <w:rFonts w:ascii="Times New Roman" w:eastAsia="宋体" w:cs="Times New Roman"/>
                <w:bCs/>
                <w:sz w:val="21"/>
                <w:szCs w:val="21"/>
              </w:rPr>
              <w:t>1、教师任务</w:t>
            </w:r>
          </w:p>
          <w:p>
            <w:pPr>
              <w:pStyle w:val="48"/>
              <w:spacing w:line="288" w:lineRule="auto"/>
              <w:jc w:val="both"/>
              <w:rPr>
                <w:rFonts w:ascii="Times New Roman" w:eastAsia="宋体" w:cs="Times New Roman"/>
                <w:bCs/>
                <w:sz w:val="21"/>
                <w:szCs w:val="21"/>
              </w:rPr>
            </w:pPr>
            <w:r>
              <w:rPr>
                <w:rFonts w:hint="eastAsia" w:ascii="宋体" w:hAnsi="宋体" w:eastAsia="宋体" w:cs="宋体"/>
                <w:bCs/>
                <w:sz w:val="21"/>
                <w:szCs w:val="21"/>
              </w:rPr>
              <w:t>①</w:t>
            </w:r>
            <w:r>
              <w:rPr>
                <w:rFonts w:ascii="Times New Roman" w:eastAsia="宋体" w:cs="Times New Roman"/>
                <w:bCs/>
                <w:sz w:val="21"/>
                <w:szCs w:val="21"/>
              </w:rPr>
              <w:t>课前发布视频和测试任务；</w:t>
            </w:r>
          </w:p>
          <w:p>
            <w:pPr>
              <w:pStyle w:val="48"/>
              <w:spacing w:line="288" w:lineRule="auto"/>
              <w:jc w:val="both"/>
              <w:rPr>
                <w:rFonts w:ascii="Times New Roman" w:eastAsia="宋体" w:cs="Times New Roman"/>
                <w:bCs/>
                <w:sz w:val="21"/>
                <w:szCs w:val="21"/>
              </w:rPr>
            </w:pPr>
            <w:r>
              <w:rPr>
                <w:rFonts w:hint="eastAsia" w:ascii="宋体" w:hAnsi="宋体" w:eastAsia="宋体" w:cs="宋体"/>
                <w:bCs/>
                <w:sz w:val="21"/>
                <w:szCs w:val="21"/>
              </w:rPr>
              <w:t>②</w:t>
            </w:r>
            <w:r>
              <w:rPr>
                <w:rFonts w:ascii="Times New Roman" w:eastAsia="宋体" w:cs="Times New Roman"/>
                <w:bCs/>
                <w:sz w:val="21"/>
                <w:szCs w:val="21"/>
              </w:rPr>
              <w:t>介绍本章节学习目标；</w:t>
            </w:r>
          </w:p>
          <w:p>
            <w:pPr>
              <w:pStyle w:val="48"/>
              <w:spacing w:line="288" w:lineRule="auto"/>
              <w:jc w:val="both"/>
              <w:rPr>
                <w:rFonts w:ascii="Times New Roman" w:eastAsia="宋体" w:cs="Times New Roman"/>
                <w:bCs/>
                <w:sz w:val="21"/>
                <w:szCs w:val="21"/>
              </w:rPr>
            </w:pPr>
            <w:r>
              <w:rPr>
                <w:rFonts w:hint="eastAsia" w:ascii="宋体" w:hAnsi="宋体" w:eastAsia="宋体" w:cs="宋体"/>
                <w:bCs/>
                <w:sz w:val="21"/>
                <w:szCs w:val="21"/>
              </w:rPr>
              <w:t>③</w:t>
            </w:r>
            <w:r>
              <w:rPr>
                <w:rFonts w:ascii="Times New Roman" w:eastAsia="宋体" w:cs="Times New Roman"/>
                <w:bCs/>
                <w:sz w:val="21"/>
                <w:szCs w:val="21"/>
              </w:rPr>
              <w:t>课中详细讲解支付工具和结算方式相关知识，辅以案例分析；</w:t>
            </w:r>
          </w:p>
          <w:p>
            <w:pPr>
              <w:pStyle w:val="48"/>
              <w:spacing w:line="288" w:lineRule="auto"/>
              <w:jc w:val="both"/>
              <w:rPr>
                <w:rFonts w:ascii="Times New Roman" w:eastAsia="宋体" w:cs="Times New Roman"/>
                <w:bCs/>
                <w:sz w:val="21"/>
                <w:szCs w:val="21"/>
              </w:rPr>
            </w:pPr>
            <w:r>
              <w:rPr>
                <w:rFonts w:hint="eastAsia" w:ascii="宋体" w:hAnsi="宋体" w:eastAsia="宋体" w:cs="宋体"/>
                <w:bCs/>
                <w:sz w:val="21"/>
                <w:szCs w:val="21"/>
              </w:rPr>
              <w:t>④</w:t>
            </w:r>
            <w:r>
              <w:rPr>
                <w:rFonts w:ascii="Times New Roman" w:eastAsia="宋体" w:cs="Times New Roman"/>
                <w:bCs/>
                <w:sz w:val="21"/>
                <w:szCs w:val="21"/>
              </w:rPr>
              <w:t>以Visio画图展示各结算方式的业务流程；</w:t>
            </w:r>
          </w:p>
          <w:p>
            <w:pPr>
              <w:pStyle w:val="48"/>
              <w:spacing w:line="288" w:lineRule="auto"/>
              <w:jc w:val="both"/>
              <w:rPr>
                <w:rFonts w:ascii="Times New Roman" w:eastAsia="宋体" w:cs="Times New Roman"/>
                <w:bCs/>
                <w:sz w:val="21"/>
                <w:szCs w:val="21"/>
              </w:rPr>
            </w:pPr>
            <w:r>
              <w:rPr>
                <w:rFonts w:hint="eastAsia" w:ascii="宋体" w:hAnsi="宋体" w:eastAsia="宋体" w:cs="宋体"/>
                <w:bCs/>
                <w:sz w:val="21"/>
                <w:szCs w:val="21"/>
              </w:rPr>
              <w:t>⑤</w:t>
            </w:r>
            <w:r>
              <w:rPr>
                <w:rFonts w:ascii="Times New Roman" w:eastAsia="宋体" w:cs="Times New Roman"/>
                <w:bCs/>
                <w:sz w:val="21"/>
                <w:szCs w:val="21"/>
              </w:rPr>
              <w:t>发布下节课任务单，并反思。</w:t>
            </w:r>
          </w:p>
          <w:p>
            <w:pPr>
              <w:pStyle w:val="48"/>
              <w:spacing w:line="288" w:lineRule="auto"/>
              <w:jc w:val="both"/>
              <w:rPr>
                <w:rFonts w:ascii="Times New Roman" w:eastAsia="宋体" w:cs="Times New Roman"/>
                <w:bCs/>
                <w:sz w:val="21"/>
                <w:szCs w:val="21"/>
              </w:rPr>
            </w:pPr>
            <w:r>
              <w:rPr>
                <w:rFonts w:ascii="Times New Roman" w:eastAsia="宋体" w:cs="Times New Roman"/>
                <w:bCs/>
                <w:sz w:val="21"/>
                <w:szCs w:val="21"/>
              </w:rPr>
              <w:t>2、学生任务</w:t>
            </w:r>
          </w:p>
          <w:p>
            <w:pPr>
              <w:pStyle w:val="48"/>
              <w:spacing w:line="288" w:lineRule="auto"/>
              <w:jc w:val="both"/>
              <w:rPr>
                <w:rFonts w:ascii="Times New Roman" w:eastAsia="宋体" w:cs="Times New Roman"/>
                <w:bCs/>
                <w:sz w:val="21"/>
                <w:szCs w:val="21"/>
              </w:rPr>
            </w:pPr>
            <w:r>
              <w:rPr>
                <w:rFonts w:hint="eastAsia" w:ascii="宋体" w:hAnsi="宋体" w:eastAsia="宋体" w:cs="宋体"/>
                <w:bCs/>
                <w:sz w:val="21"/>
                <w:szCs w:val="21"/>
              </w:rPr>
              <w:t>①</w:t>
            </w:r>
            <w:r>
              <w:rPr>
                <w:rFonts w:ascii="Times New Roman" w:eastAsia="宋体" w:cs="Times New Roman"/>
                <w:bCs/>
                <w:sz w:val="21"/>
                <w:szCs w:val="21"/>
              </w:rPr>
              <w:t>课前观看FIF平台视频与课件；</w:t>
            </w:r>
          </w:p>
          <w:p>
            <w:pPr>
              <w:pStyle w:val="48"/>
              <w:spacing w:line="288" w:lineRule="auto"/>
              <w:jc w:val="both"/>
              <w:rPr>
                <w:rFonts w:ascii="Times New Roman" w:eastAsia="宋体" w:cs="Times New Roman"/>
                <w:bCs/>
                <w:sz w:val="21"/>
                <w:szCs w:val="21"/>
              </w:rPr>
            </w:pPr>
            <w:r>
              <w:rPr>
                <w:rFonts w:hint="eastAsia" w:ascii="宋体" w:hAnsi="宋体" w:eastAsia="宋体" w:cs="宋体"/>
                <w:bCs/>
                <w:sz w:val="21"/>
                <w:szCs w:val="21"/>
              </w:rPr>
              <w:t>②</w:t>
            </w:r>
            <w:r>
              <w:rPr>
                <w:rFonts w:ascii="Times New Roman" w:eastAsia="宋体" w:cs="Times New Roman"/>
                <w:bCs/>
                <w:sz w:val="21"/>
                <w:szCs w:val="21"/>
              </w:rPr>
              <w:t>完成在线测试；</w:t>
            </w:r>
          </w:p>
          <w:p>
            <w:pPr>
              <w:pStyle w:val="48"/>
              <w:spacing w:line="288" w:lineRule="auto"/>
              <w:jc w:val="both"/>
              <w:rPr>
                <w:rFonts w:ascii="Times New Roman" w:eastAsia="宋体" w:cs="Times New Roman"/>
                <w:bCs/>
                <w:sz w:val="21"/>
                <w:szCs w:val="21"/>
              </w:rPr>
            </w:pPr>
            <w:r>
              <w:rPr>
                <w:rFonts w:hint="eastAsia" w:ascii="宋体" w:hAnsi="宋体" w:eastAsia="宋体" w:cs="宋体"/>
                <w:bCs/>
                <w:sz w:val="21"/>
                <w:szCs w:val="21"/>
              </w:rPr>
              <w:t>③</w:t>
            </w:r>
            <w:r>
              <w:rPr>
                <w:rFonts w:ascii="Times New Roman" w:eastAsia="宋体" w:cs="Times New Roman"/>
                <w:bCs/>
                <w:sz w:val="21"/>
                <w:szCs w:val="21"/>
              </w:rPr>
              <w:t>课中小组讨论案例并汇报；</w:t>
            </w:r>
          </w:p>
          <w:p>
            <w:pPr>
              <w:pStyle w:val="48"/>
              <w:spacing w:line="288" w:lineRule="auto"/>
              <w:jc w:val="both"/>
              <w:rPr>
                <w:rFonts w:ascii="Times New Roman" w:eastAsia="宋体" w:cs="Times New Roman"/>
                <w:bCs/>
                <w:sz w:val="21"/>
                <w:szCs w:val="21"/>
              </w:rPr>
            </w:pPr>
            <w:r>
              <w:rPr>
                <w:rFonts w:hint="eastAsia" w:ascii="宋体" w:hAnsi="宋体" w:eastAsia="宋体" w:cs="宋体"/>
                <w:bCs/>
                <w:sz w:val="21"/>
                <w:szCs w:val="21"/>
              </w:rPr>
              <w:t>④</w:t>
            </w:r>
            <w:r>
              <w:rPr>
                <w:rFonts w:ascii="Times New Roman" w:eastAsia="宋体" w:cs="Times New Roman"/>
                <w:bCs/>
                <w:sz w:val="21"/>
                <w:szCs w:val="21"/>
              </w:rPr>
              <w:t>课后阅读公众号文章：报价、订货、付款方式、保险、提单、结汇等问题解析；</w:t>
            </w:r>
          </w:p>
          <w:p>
            <w:pPr>
              <w:pStyle w:val="48"/>
              <w:spacing w:line="288" w:lineRule="auto"/>
              <w:jc w:val="both"/>
              <w:rPr>
                <w:rFonts w:ascii="Times New Roman" w:eastAsia="宋体" w:cs="Times New Roman"/>
                <w:bCs/>
                <w:snapToGrid w:val="0"/>
                <w:color w:val="auto"/>
                <w:kern w:val="2"/>
                <w:sz w:val="21"/>
                <w:szCs w:val="21"/>
              </w:rPr>
            </w:pPr>
            <w:r>
              <w:rPr>
                <w:rFonts w:hint="eastAsia" w:ascii="宋体" w:hAnsi="宋体" w:eastAsia="宋体" w:cs="宋体"/>
                <w:bCs/>
                <w:sz w:val="21"/>
                <w:szCs w:val="21"/>
              </w:rPr>
              <w:t>⑤</w:t>
            </w:r>
            <w:r>
              <w:rPr>
                <w:rFonts w:ascii="Times New Roman" w:eastAsia="宋体" w:cs="Times New Roman"/>
                <w:bCs/>
                <w:sz w:val="21"/>
                <w:szCs w:val="21"/>
              </w:rPr>
              <w:t>思维导图总结，做好学习笔记。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28" w:type="dxa"/>
            <w:bottom w:w="28" w:type="dxa"/>
            <w:right w:w="28" w:type="dxa"/>
          </w:tblCellMar>
        </w:tblPrEx>
        <w:trPr>
          <w:trHeight w:val="20" w:hRule="atLeast"/>
          <w:jc w:val="center"/>
        </w:trPr>
        <w:tc>
          <w:tcPr>
            <w:tcW w:w="0" w:type="auto"/>
            <w:tcMar>
              <w:top w:w="57" w:type="dxa"/>
              <w:bottom w:w="57" w:type="dxa"/>
            </w:tcMar>
            <w:vAlign w:val="center"/>
          </w:tcPr>
          <w:p>
            <w:pPr>
              <w:spacing w:line="288" w:lineRule="auto"/>
              <w:jc w:val="center"/>
              <w:rPr>
                <w:rFonts w:ascii="Times New Roman" w:hAnsi="Times New Roman" w:eastAsia="宋体" w:cs="Times New Roman"/>
                <w:bCs/>
                <w:snapToGrid w:val="0"/>
                <w:szCs w:val="21"/>
              </w:rPr>
            </w:pPr>
            <w:r>
              <w:rPr>
                <w:rFonts w:ascii="Times New Roman" w:hAnsi="Times New Roman" w:eastAsia="宋体" w:cs="Times New Roman"/>
                <w:bCs/>
                <w:snapToGrid w:val="0"/>
                <w:szCs w:val="21"/>
              </w:rPr>
              <w:t>11</w:t>
            </w:r>
          </w:p>
        </w:tc>
        <w:tc>
          <w:tcPr>
            <w:tcW w:w="890" w:type="dxa"/>
            <w:vAlign w:val="center"/>
          </w:tcPr>
          <w:p>
            <w:pPr>
              <w:spacing w:line="288" w:lineRule="auto"/>
              <w:jc w:val="center"/>
              <w:rPr>
                <w:rFonts w:ascii="Times New Roman" w:hAnsi="Times New Roman" w:eastAsia="宋体" w:cs="Times New Roman"/>
                <w:bCs/>
                <w:snapToGrid w:val="0"/>
                <w:szCs w:val="21"/>
              </w:rPr>
            </w:pPr>
            <w:r>
              <w:rPr>
                <w:rFonts w:ascii="Times New Roman" w:hAnsi="Times New Roman" w:eastAsia="宋体" w:cs="Times New Roman"/>
                <w:bCs/>
                <w:snapToGrid w:val="0"/>
                <w:szCs w:val="21"/>
              </w:rPr>
              <w:t>实验六</w:t>
            </w:r>
          </w:p>
        </w:tc>
        <w:tc>
          <w:tcPr>
            <w:tcW w:w="3544" w:type="dxa"/>
            <w:tcMar>
              <w:top w:w="57" w:type="dxa"/>
              <w:bottom w:w="57" w:type="dxa"/>
            </w:tcMar>
            <w:vAlign w:val="center"/>
          </w:tcPr>
          <w:p>
            <w:pPr>
              <w:spacing w:line="288" w:lineRule="auto"/>
              <w:rPr>
                <w:rFonts w:ascii="Times New Roman" w:hAnsi="Times New Roman" w:eastAsia="宋体" w:cs="Times New Roman"/>
                <w:bCs/>
                <w:snapToGrid w:val="0"/>
                <w:szCs w:val="21"/>
              </w:rPr>
            </w:pPr>
            <w:r>
              <w:rPr>
                <w:rFonts w:ascii="Times New Roman" w:hAnsi="Times New Roman" w:eastAsia="宋体" w:cs="Times New Roman"/>
                <w:bCs/>
                <w:snapToGrid w:val="0"/>
                <w:szCs w:val="21"/>
              </w:rPr>
              <w:t>1、国际货款收付</w:t>
            </w:r>
          </w:p>
          <w:p>
            <w:pPr>
              <w:spacing w:line="288" w:lineRule="auto"/>
              <w:rPr>
                <w:rFonts w:ascii="Times New Roman" w:hAnsi="Times New Roman" w:cs="Times New Roman"/>
                <w:bCs/>
                <w:szCs w:val="21"/>
              </w:rPr>
            </w:pPr>
            <w:r>
              <w:rPr>
                <w:rFonts w:ascii="Times New Roman" w:hAnsi="Times New Roman" w:eastAsia="宋体" w:cs="Times New Roman"/>
                <w:bCs/>
                <w:snapToGrid w:val="0"/>
                <w:szCs w:val="21"/>
              </w:rPr>
              <w:t>2、情境项目2：交易磋商</w:t>
            </w:r>
          </w:p>
        </w:tc>
        <w:tc>
          <w:tcPr>
            <w:tcW w:w="5103" w:type="dxa"/>
            <w:tcMar>
              <w:top w:w="57" w:type="dxa"/>
              <w:bottom w:w="57" w:type="dxa"/>
            </w:tcMar>
            <w:vAlign w:val="center"/>
          </w:tcPr>
          <w:p>
            <w:pPr>
              <w:spacing w:line="288" w:lineRule="auto"/>
              <w:rPr>
                <w:rFonts w:ascii="Times New Roman" w:hAnsi="Times New Roman" w:eastAsia="宋体" w:cs="Times New Roman"/>
                <w:bCs/>
                <w:snapToGrid w:val="0"/>
                <w:szCs w:val="21"/>
              </w:rPr>
            </w:pPr>
            <w:r>
              <w:rPr>
                <w:rFonts w:ascii="Times New Roman" w:hAnsi="Times New Roman" w:eastAsia="宋体" w:cs="Times New Roman"/>
                <w:bCs/>
                <w:snapToGrid w:val="0"/>
                <w:szCs w:val="21"/>
              </w:rPr>
              <w:t>1、教学重点</w:t>
            </w:r>
          </w:p>
          <w:p>
            <w:pPr>
              <w:pStyle w:val="6"/>
              <w:spacing w:line="288" w:lineRule="auto"/>
              <w:ind w:firstLine="0" w:firstLineChars="0"/>
              <w:rPr>
                <w:bCs/>
                <w:sz w:val="21"/>
                <w:szCs w:val="21"/>
              </w:rPr>
            </w:pPr>
            <w:r>
              <w:rPr>
                <w:rFonts w:hint="eastAsia" w:ascii="宋体" w:hAnsi="宋体" w:cs="宋体"/>
                <w:bCs/>
                <w:sz w:val="21"/>
                <w:szCs w:val="21"/>
              </w:rPr>
              <w:t>①</w:t>
            </w:r>
            <w:r>
              <w:rPr>
                <w:bCs/>
                <w:sz w:val="21"/>
                <w:szCs w:val="21"/>
              </w:rPr>
              <w:t>明确收付条款在合同中的重要意义；</w:t>
            </w:r>
          </w:p>
          <w:p>
            <w:pPr>
              <w:pStyle w:val="6"/>
              <w:spacing w:line="288" w:lineRule="auto"/>
              <w:ind w:firstLine="0" w:firstLineChars="0"/>
              <w:rPr>
                <w:bCs/>
                <w:sz w:val="21"/>
                <w:szCs w:val="21"/>
              </w:rPr>
            </w:pPr>
            <w:r>
              <w:rPr>
                <w:rFonts w:hint="eastAsia" w:ascii="宋体" w:hAnsi="宋体" w:cs="宋体"/>
                <w:bCs/>
                <w:sz w:val="21"/>
                <w:szCs w:val="21"/>
              </w:rPr>
              <w:t>②</w:t>
            </w:r>
            <w:r>
              <w:rPr>
                <w:bCs/>
                <w:sz w:val="21"/>
                <w:szCs w:val="21"/>
              </w:rPr>
              <w:t>实际业务操作：汇票制作；</w:t>
            </w:r>
          </w:p>
          <w:p>
            <w:pPr>
              <w:pStyle w:val="6"/>
              <w:spacing w:line="288" w:lineRule="auto"/>
              <w:ind w:firstLine="0" w:firstLineChars="0"/>
              <w:rPr>
                <w:bCs/>
                <w:sz w:val="21"/>
                <w:szCs w:val="21"/>
              </w:rPr>
            </w:pPr>
            <w:r>
              <w:rPr>
                <w:rFonts w:hint="eastAsia" w:ascii="宋体" w:hAnsi="宋体" w:cs="宋体"/>
                <w:bCs/>
                <w:sz w:val="21"/>
                <w:szCs w:val="21"/>
              </w:rPr>
              <w:t>③</w:t>
            </w:r>
            <w:r>
              <w:rPr>
                <w:bCs/>
                <w:sz w:val="21"/>
                <w:szCs w:val="21"/>
              </w:rPr>
              <w:t>掌握交易磋商中有关货款收付的谈判。</w:t>
            </w:r>
          </w:p>
          <w:p>
            <w:pPr>
              <w:spacing w:line="288" w:lineRule="auto"/>
              <w:rPr>
                <w:rFonts w:ascii="Times New Roman" w:hAnsi="Times New Roman" w:eastAsia="宋体" w:cs="Times New Roman"/>
                <w:bCs/>
                <w:snapToGrid w:val="0"/>
                <w:szCs w:val="21"/>
              </w:rPr>
            </w:pPr>
            <w:r>
              <w:rPr>
                <w:rFonts w:ascii="Times New Roman" w:hAnsi="Times New Roman" w:eastAsia="宋体" w:cs="Times New Roman"/>
                <w:bCs/>
                <w:snapToGrid w:val="0"/>
                <w:szCs w:val="21"/>
              </w:rPr>
              <w:t>2、教学难点</w:t>
            </w:r>
          </w:p>
          <w:p>
            <w:pPr>
              <w:pStyle w:val="6"/>
              <w:spacing w:line="288" w:lineRule="auto"/>
              <w:ind w:firstLine="0" w:firstLineChars="0"/>
              <w:rPr>
                <w:bCs/>
                <w:sz w:val="21"/>
                <w:szCs w:val="21"/>
              </w:rPr>
            </w:pPr>
            <w:r>
              <w:rPr>
                <w:rFonts w:hint="eastAsia" w:ascii="宋体" w:hAnsi="宋体" w:cs="宋体"/>
                <w:bCs/>
                <w:sz w:val="21"/>
                <w:szCs w:val="21"/>
              </w:rPr>
              <w:t>①</w:t>
            </w:r>
            <w:r>
              <w:rPr>
                <w:bCs/>
                <w:sz w:val="21"/>
                <w:szCs w:val="21"/>
              </w:rPr>
              <w:t>信用工具在国际结算中的运用；</w:t>
            </w:r>
          </w:p>
          <w:p>
            <w:pPr>
              <w:pStyle w:val="6"/>
              <w:spacing w:line="288" w:lineRule="auto"/>
              <w:ind w:firstLine="0" w:firstLineChars="0"/>
              <w:rPr>
                <w:bCs/>
                <w:sz w:val="21"/>
                <w:szCs w:val="21"/>
              </w:rPr>
            </w:pPr>
            <w:r>
              <w:rPr>
                <w:rFonts w:hint="eastAsia" w:ascii="宋体" w:hAnsi="宋体" w:cs="宋体"/>
                <w:bCs/>
                <w:sz w:val="21"/>
                <w:szCs w:val="21"/>
              </w:rPr>
              <w:t>②</w:t>
            </w:r>
            <w:r>
              <w:rPr>
                <w:bCs/>
                <w:sz w:val="21"/>
                <w:szCs w:val="21"/>
              </w:rPr>
              <w:t>汇票填制时的绝对必要记载项目；</w:t>
            </w:r>
          </w:p>
          <w:p>
            <w:pPr>
              <w:pStyle w:val="6"/>
              <w:spacing w:line="288" w:lineRule="auto"/>
              <w:ind w:firstLine="0" w:firstLineChars="0"/>
              <w:rPr>
                <w:bCs/>
                <w:sz w:val="21"/>
                <w:szCs w:val="21"/>
              </w:rPr>
            </w:pPr>
            <w:r>
              <w:rPr>
                <w:rFonts w:hint="eastAsia" w:ascii="宋体" w:hAnsi="宋体" w:cs="宋体"/>
                <w:bCs/>
                <w:sz w:val="21"/>
                <w:szCs w:val="21"/>
              </w:rPr>
              <w:t>③</w:t>
            </w:r>
            <w:r>
              <w:rPr>
                <w:bCs/>
                <w:sz w:val="21"/>
                <w:szCs w:val="21"/>
              </w:rPr>
              <w:t>如何灵活运用各种结算方式；</w:t>
            </w:r>
          </w:p>
          <w:p>
            <w:pPr>
              <w:pStyle w:val="6"/>
              <w:spacing w:line="288" w:lineRule="auto"/>
              <w:ind w:firstLine="0" w:firstLineChars="0"/>
              <w:rPr>
                <w:bCs/>
                <w:sz w:val="21"/>
                <w:szCs w:val="21"/>
              </w:rPr>
            </w:pPr>
            <w:r>
              <w:rPr>
                <w:rFonts w:hint="eastAsia" w:ascii="宋体" w:hAnsi="宋体" w:cs="宋体"/>
                <w:bCs/>
                <w:sz w:val="21"/>
                <w:szCs w:val="21"/>
              </w:rPr>
              <w:t>④</w:t>
            </w:r>
            <w:r>
              <w:rPr>
                <w:bCs/>
                <w:sz w:val="21"/>
                <w:szCs w:val="21"/>
              </w:rPr>
              <w:t>课程思政：认真严谨、工匠精神。</w:t>
            </w:r>
          </w:p>
          <w:p>
            <w:pPr>
              <w:spacing w:line="288" w:lineRule="auto"/>
              <w:rPr>
                <w:rFonts w:ascii="Times New Roman" w:hAnsi="Times New Roman" w:eastAsia="宋体" w:cs="Times New Roman"/>
                <w:bCs/>
                <w:snapToGrid w:val="0"/>
                <w:szCs w:val="21"/>
              </w:rPr>
            </w:pPr>
            <w:r>
              <w:rPr>
                <w:rFonts w:ascii="Times New Roman" w:hAnsi="Times New Roman" w:eastAsia="宋体" w:cs="Times New Roman"/>
                <w:bCs/>
                <w:snapToGrid w:val="0"/>
                <w:szCs w:val="21"/>
              </w:rPr>
              <w:t>3、教学方法：</w:t>
            </w:r>
            <w:r>
              <w:rPr>
                <w:rFonts w:ascii="Times New Roman" w:hAnsi="Times New Roman" w:eastAsia="宋体" w:cs="Times New Roman"/>
                <w:bCs/>
                <w:color w:val="000000"/>
                <w:kern w:val="0"/>
                <w:szCs w:val="21"/>
              </w:rPr>
              <w:t>讲授、实验、角色扮演、多媒体演示。</w:t>
            </w:r>
          </w:p>
        </w:tc>
        <w:tc>
          <w:tcPr>
            <w:tcW w:w="3864" w:type="dxa"/>
            <w:tcMar>
              <w:top w:w="57" w:type="dxa"/>
              <w:bottom w:w="57" w:type="dxa"/>
            </w:tcMar>
            <w:vAlign w:val="center"/>
          </w:tcPr>
          <w:p>
            <w:pPr>
              <w:pStyle w:val="48"/>
              <w:spacing w:line="288" w:lineRule="auto"/>
              <w:jc w:val="both"/>
              <w:rPr>
                <w:rFonts w:ascii="Times New Roman" w:eastAsia="宋体" w:cs="Times New Roman"/>
                <w:bCs/>
                <w:sz w:val="21"/>
                <w:szCs w:val="21"/>
              </w:rPr>
            </w:pPr>
            <w:r>
              <w:rPr>
                <w:rFonts w:ascii="Times New Roman" w:eastAsia="宋体" w:cs="Times New Roman"/>
                <w:bCs/>
                <w:sz w:val="21"/>
                <w:szCs w:val="21"/>
              </w:rPr>
              <w:t>1、教师任务</w:t>
            </w:r>
          </w:p>
          <w:p>
            <w:pPr>
              <w:pStyle w:val="48"/>
              <w:spacing w:line="288" w:lineRule="auto"/>
              <w:jc w:val="both"/>
              <w:rPr>
                <w:rFonts w:ascii="Times New Roman" w:eastAsia="宋体" w:cs="Times New Roman"/>
                <w:bCs/>
                <w:sz w:val="21"/>
                <w:szCs w:val="21"/>
              </w:rPr>
            </w:pPr>
            <w:r>
              <w:rPr>
                <w:rFonts w:hint="eastAsia" w:ascii="宋体" w:hAnsi="宋体" w:eastAsia="宋体" w:cs="宋体"/>
                <w:bCs/>
                <w:sz w:val="21"/>
                <w:szCs w:val="21"/>
              </w:rPr>
              <w:t>①</w:t>
            </w:r>
            <w:r>
              <w:rPr>
                <w:rFonts w:ascii="Times New Roman" w:eastAsia="宋体" w:cs="Times New Roman"/>
                <w:bCs/>
                <w:sz w:val="21"/>
                <w:szCs w:val="21"/>
              </w:rPr>
              <w:t>组织学生对前几个实验情境磋商结果进行分组汇报；</w:t>
            </w:r>
          </w:p>
          <w:p>
            <w:pPr>
              <w:pStyle w:val="48"/>
              <w:spacing w:line="288" w:lineRule="auto"/>
              <w:jc w:val="both"/>
              <w:rPr>
                <w:rFonts w:ascii="Times New Roman" w:eastAsia="宋体" w:cs="Times New Roman"/>
                <w:bCs/>
                <w:sz w:val="21"/>
                <w:szCs w:val="21"/>
              </w:rPr>
            </w:pPr>
            <w:r>
              <w:rPr>
                <w:rFonts w:hint="eastAsia" w:ascii="宋体" w:hAnsi="宋体" w:eastAsia="宋体" w:cs="宋体"/>
                <w:bCs/>
                <w:sz w:val="21"/>
                <w:szCs w:val="21"/>
              </w:rPr>
              <w:t>②</w:t>
            </w:r>
            <w:r>
              <w:rPr>
                <w:rFonts w:ascii="Times New Roman" w:eastAsia="宋体" w:cs="Times New Roman"/>
                <w:bCs/>
                <w:sz w:val="21"/>
                <w:szCs w:val="21"/>
              </w:rPr>
              <w:t>介绍实验安排与实验目的；</w:t>
            </w:r>
          </w:p>
          <w:p>
            <w:pPr>
              <w:pStyle w:val="48"/>
              <w:spacing w:line="288" w:lineRule="auto"/>
              <w:jc w:val="both"/>
              <w:rPr>
                <w:rFonts w:ascii="Times New Roman" w:eastAsia="宋体" w:cs="Times New Roman"/>
                <w:bCs/>
                <w:sz w:val="21"/>
                <w:szCs w:val="21"/>
              </w:rPr>
            </w:pPr>
            <w:r>
              <w:rPr>
                <w:rFonts w:hint="eastAsia" w:ascii="宋体" w:hAnsi="宋体" w:eastAsia="宋体" w:cs="宋体"/>
                <w:bCs/>
                <w:sz w:val="21"/>
                <w:szCs w:val="21"/>
              </w:rPr>
              <w:t>③</w:t>
            </w:r>
            <w:r>
              <w:rPr>
                <w:rFonts w:ascii="Times New Roman" w:eastAsia="宋体" w:cs="Times New Roman"/>
                <w:bCs/>
                <w:sz w:val="21"/>
                <w:szCs w:val="21"/>
              </w:rPr>
              <w:t>组织学生完成情境项目2评价；</w:t>
            </w:r>
          </w:p>
          <w:p>
            <w:pPr>
              <w:pStyle w:val="48"/>
              <w:spacing w:line="288" w:lineRule="auto"/>
              <w:jc w:val="both"/>
              <w:rPr>
                <w:rFonts w:ascii="Times New Roman" w:eastAsia="宋体" w:cs="Times New Roman"/>
                <w:bCs/>
                <w:sz w:val="21"/>
                <w:szCs w:val="21"/>
              </w:rPr>
            </w:pPr>
            <w:r>
              <w:rPr>
                <w:rFonts w:hint="eastAsia" w:ascii="宋体" w:hAnsi="宋体" w:eastAsia="宋体" w:cs="宋体"/>
                <w:bCs/>
                <w:sz w:val="21"/>
                <w:szCs w:val="21"/>
              </w:rPr>
              <w:t>④</w:t>
            </w:r>
            <w:r>
              <w:rPr>
                <w:rFonts w:ascii="Times New Roman" w:eastAsia="宋体" w:cs="Times New Roman"/>
                <w:bCs/>
                <w:sz w:val="21"/>
                <w:szCs w:val="21"/>
              </w:rPr>
              <w:t>发布下节课任务单，并反思。</w:t>
            </w:r>
          </w:p>
          <w:p>
            <w:pPr>
              <w:pStyle w:val="48"/>
              <w:spacing w:line="288" w:lineRule="auto"/>
              <w:jc w:val="both"/>
              <w:rPr>
                <w:rFonts w:ascii="Times New Roman" w:eastAsia="宋体" w:cs="Times New Roman"/>
                <w:bCs/>
                <w:sz w:val="21"/>
                <w:szCs w:val="21"/>
              </w:rPr>
            </w:pPr>
            <w:r>
              <w:rPr>
                <w:rFonts w:ascii="Times New Roman" w:eastAsia="宋体" w:cs="Times New Roman"/>
                <w:bCs/>
                <w:sz w:val="21"/>
                <w:szCs w:val="21"/>
              </w:rPr>
              <w:t>2、学生任务</w:t>
            </w:r>
          </w:p>
          <w:p>
            <w:pPr>
              <w:pStyle w:val="48"/>
              <w:spacing w:line="288" w:lineRule="auto"/>
              <w:jc w:val="both"/>
              <w:rPr>
                <w:rFonts w:ascii="Times New Roman" w:eastAsia="宋体" w:cs="Times New Roman"/>
                <w:bCs/>
                <w:sz w:val="21"/>
                <w:szCs w:val="21"/>
              </w:rPr>
            </w:pPr>
            <w:r>
              <w:rPr>
                <w:rFonts w:hint="eastAsia" w:ascii="宋体" w:hAnsi="宋体" w:eastAsia="宋体" w:cs="宋体"/>
                <w:bCs/>
                <w:sz w:val="21"/>
                <w:szCs w:val="21"/>
              </w:rPr>
              <w:t>①</w:t>
            </w:r>
            <w:r>
              <w:rPr>
                <w:rFonts w:ascii="Times New Roman" w:eastAsia="宋体" w:cs="Times New Roman"/>
                <w:bCs/>
                <w:sz w:val="21"/>
                <w:szCs w:val="21"/>
              </w:rPr>
              <w:t>课前完成情境项目2任务准备；</w:t>
            </w:r>
          </w:p>
          <w:p>
            <w:pPr>
              <w:pStyle w:val="48"/>
              <w:spacing w:line="288" w:lineRule="auto"/>
              <w:jc w:val="both"/>
              <w:rPr>
                <w:rFonts w:ascii="Times New Roman" w:eastAsia="宋体" w:cs="Times New Roman"/>
                <w:bCs/>
                <w:sz w:val="21"/>
                <w:szCs w:val="21"/>
              </w:rPr>
            </w:pPr>
            <w:r>
              <w:rPr>
                <w:rFonts w:hint="eastAsia" w:ascii="宋体" w:hAnsi="宋体" w:eastAsia="宋体" w:cs="宋体"/>
                <w:bCs/>
                <w:sz w:val="21"/>
                <w:szCs w:val="21"/>
              </w:rPr>
              <w:t>②</w:t>
            </w:r>
            <w:r>
              <w:rPr>
                <w:rFonts w:ascii="Times New Roman" w:eastAsia="宋体" w:cs="Times New Roman"/>
                <w:bCs/>
                <w:sz w:val="21"/>
                <w:szCs w:val="21"/>
              </w:rPr>
              <w:t>角色模拟汇报；</w:t>
            </w:r>
          </w:p>
          <w:p>
            <w:pPr>
              <w:pStyle w:val="48"/>
              <w:spacing w:line="288" w:lineRule="auto"/>
              <w:jc w:val="both"/>
              <w:rPr>
                <w:rFonts w:ascii="Times New Roman" w:eastAsia="宋体" w:cs="Times New Roman"/>
                <w:bCs/>
                <w:sz w:val="21"/>
                <w:szCs w:val="21"/>
              </w:rPr>
            </w:pPr>
            <w:r>
              <w:rPr>
                <w:rFonts w:hint="eastAsia" w:ascii="宋体" w:hAnsi="宋体" w:eastAsia="宋体" w:cs="宋体"/>
                <w:bCs/>
                <w:sz w:val="21"/>
                <w:szCs w:val="21"/>
              </w:rPr>
              <w:t>③</w:t>
            </w:r>
            <w:r>
              <w:rPr>
                <w:rFonts w:ascii="Times New Roman" w:eastAsia="宋体" w:cs="Times New Roman"/>
                <w:bCs/>
                <w:sz w:val="21"/>
                <w:szCs w:val="21"/>
              </w:rPr>
              <w:t>课后在爱课堂平台进行互评；</w:t>
            </w:r>
          </w:p>
          <w:p>
            <w:pPr>
              <w:pStyle w:val="48"/>
              <w:spacing w:line="288" w:lineRule="auto"/>
              <w:jc w:val="both"/>
              <w:rPr>
                <w:rFonts w:ascii="Times New Roman" w:eastAsia="宋体" w:cs="Times New Roman"/>
                <w:bCs/>
                <w:sz w:val="21"/>
                <w:szCs w:val="21"/>
              </w:rPr>
            </w:pPr>
            <w:r>
              <w:rPr>
                <w:rFonts w:hint="eastAsia" w:ascii="宋体" w:hAnsi="宋体" w:eastAsia="宋体" w:cs="宋体"/>
                <w:bCs/>
                <w:sz w:val="21"/>
                <w:szCs w:val="21"/>
              </w:rPr>
              <w:t>④</w:t>
            </w:r>
            <w:r>
              <w:rPr>
                <w:rFonts w:ascii="Times New Roman" w:eastAsia="宋体" w:cs="Times New Roman"/>
                <w:bCs/>
                <w:sz w:val="21"/>
                <w:szCs w:val="21"/>
              </w:rPr>
              <w:t>以情境项目模拟方式总结前几章学习内容，撰写实验报告，做好学习笔记。</w:t>
            </w:r>
          </w:p>
          <w:p>
            <w:pPr>
              <w:pStyle w:val="48"/>
              <w:spacing w:line="288" w:lineRule="auto"/>
              <w:jc w:val="both"/>
              <w:rPr>
                <w:rFonts w:ascii="Times New Roman" w:eastAsia="宋体" w:cs="Times New Roman"/>
                <w:bCs/>
                <w:snapToGrid w:val="0"/>
                <w:color w:val="auto"/>
                <w:kern w:val="2"/>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28" w:type="dxa"/>
            <w:bottom w:w="28" w:type="dxa"/>
            <w:right w:w="28" w:type="dxa"/>
          </w:tblCellMar>
        </w:tblPrEx>
        <w:trPr>
          <w:trHeight w:val="20" w:hRule="atLeast"/>
          <w:jc w:val="center"/>
        </w:trPr>
        <w:tc>
          <w:tcPr>
            <w:tcW w:w="0" w:type="auto"/>
            <w:tcMar>
              <w:top w:w="57" w:type="dxa"/>
              <w:bottom w:w="57" w:type="dxa"/>
            </w:tcMar>
            <w:vAlign w:val="center"/>
          </w:tcPr>
          <w:p>
            <w:pPr>
              <w:spacing w:line="288" w:lineRule="auto"/>
              <w:jc w:val="center"/>
              <w:rPr>
                <w:rFonts w:ascii="Times New Roman" w:hAnsi="Times New Roman" w:eastAsia="宋体" w:cs="Times New Roman"/>
                <w:bCs/>
                <w:snapToGrid w:val="0"/>
                <w:szCs w:val="21"/>
              </w:rPr>
            </w:pPr>
            <w:r>
              <w:rPr>
                <w:rFonts w:ascii="Times New Roman" w:hAnsi="Times New Roman" w:eastAsia="宋体" w:cs="Times New Roman"/>
                <w:bCs/>
                <w:snapToGrid w:val="0"/>
                <w:szCs w:val="21"/>
              </w:rPr>
              <w:t>12</w:t>
            </w:r>
          </w:p>
        </w:tc>
        <w:tc>
          <w:tcPr>
            <w:tcW w:w="890" w:type="dxa"/>
            <w:vAlign w:val="center"/>
          </w:tcPr>
          <w:p>
            <w:pPr>
              <w:spacing w:line="288" w:lineRule="auto"/>
              <w:jc w:val="center"/>
              <w:rPr>
                <w:rFonts w:ascii="Times New Roman" w:hAnsi="Times New Roman" w:eastAsia="宋体" w:cs="Times New Roman"/>
                <w:bCs/>
                <w:snapToGrid w:val="0"/>
                <w:szCs w:val="21"/>
              </w:rPr>
            </w:pPr>
            <w:r>
              <w:rPr>
                <w:rFonts w:ascii="Times New Roman" w:hAnsi="Times New Roman" w:eastAsia="宋体" w:cs="Times New Roman"/>
                <w:bCs/>
                <w:snapToGrid w:val="0"/>
                <w:szCs w:val="21"/>
              </w:rPr>
              <w:t>第七章</w:t>
            </w:r>
          </w:p>
          <w:p>
            <w:pPr>
              <w:pStyle w:val="6"/>
              <w:spacing w:line="288" w:lineRule="auto"/>
              <w:ind w:firstLine="0" w:firstLineChars="0"/>
              <w:jc w:val="center"/>
              <w:rPr>
                <w:bCs/>
                <w:sz w:val="21"/>
                <w:szCs w:val="21"/>
              </w:rPr>
            </w:pPr>
            <w:r>
              <w:rPr>
                <w:bCs/>
                <w:snapToGrid w:val="0"/>
                <w:sz w:val="21"/>
                <w:szCs w:val="21"/>
              </w:rPr>
              <w:t>商品检验与索赔</w:t>
            </w:r>
          </w:p>
        </w:tc>
        <w:tc>
          <w:tcPr>
            <w:tcW w:w="3544" w:type="dxa"/>
            <w:tcMar>
              <w:top w:w="57" w:type="dxa"/>
              <w:bottom w:w="57" w:type="dxa"/>
            </w:tcMar>
            <w:vAlign w:val="center"/>
          </w:tcPr>
          <w:p>
            <w:pPr>
              <w:spacing w:line="288" w:lineRule="auto"/>
              <w:rPr>
                <w:rFonts w:ascii="Times New Roman" w:hAnsi="Times New Roman" w:eastAsia="宋体" w:cs="Times New Roman"/>
                <w:bCs/>
                <w:snapToGrid w:val="0"/>
                <w:szCs w:val="21"/>
              </w:rPr>
            </w:pPr>
            <w:r>
              <w:rPr>
                <w:rFonts w:ascii="Times New Roman" w:hAnsi="Times New Roman" w:eastAsia="宋体" w:cs="Times New Roman"/>
                <w:bCs/>
                <w:snapToGrid w:val="0"/>
                <w:szCs w:val="21"/>
              </w:rPr>
              <w:t>1、商品检验</w:t>
            </w:r>
          </w:p>
          <w:p>
            <w:pPr>
              <w:spacing w:line="288" w:lineRule="auto"/>
              <w:rPr>
                <w:rFonts w:ascii="Times New Roman" w:hAnsi="Times New Roman" w:eastAsia="宋体" w:cs="Times New Roman"/>
                <w:bCs/>
                <w:snapToGrid w:val="0"/>
                <w:szCs w:val="21"/>
              </w:rPr>
            </w:pPr>
            <w:r>
              <w:rPr>
                <w:rFonts w:ascii="Times New Roman" w:hAnsi="Times New Roman" w:eastAsia="宋体" w:cs="Times New Roman"/>
                <w:bCs/>
                <w:snapToGrid w:val="0"/>
                <w:szCs w:val="21"/>
              </w:rPr>
              <w:t>2、索赔</w:t>
            </w:r>
          </w:p>
        </w:tc>
        <w:tc>
          <w:tcPr>
            <w:tcW w:w="5103" w:type="dxa"/>
            <w:tcMar>
              <w:top w:w="57" w:type="dxa"/>
              <w:bottom w:w="57" w:type="dxa"/>
            </w:tcMar>
            <w:vAlign w:val="center"/>
          </w:tcPr>
          <w:p>
            <w:pPr>
              <w:spacing w:line="288" w:lineRule="auto"/>
              <w:rPr>
                <w:rFonts w:ascii="Times New Roman" w:hAnsi="Times New Roman" w:eastAsia="宋体" w:cs="Times New Roman"/>
                <w:bCs/>
                <w:snapToGrid w:val="0"/>
                <w:szCs w:val="21"/>
              </w:rPr>
            </w:pPr>
            <w:r>
              <w:rPr>
                <w:rFonts w:ascii="Times New Roman" w:hAnsi="Times New Roman" w:eastAsia="宋体" w:cs="Times New Roman"/>
                <w:bCs/>
                <w:snapToGrid w:val="0"/>
                <w:szCs w:val="21"/>
              </w:rPr>
              <w:t>1、教学重点</w:t>
            </w:r>
          </w:p>
          <w:p>
            <w:pPr>
              <w:pStyle w:val="6"/>
              <w:spacing w:line="288" w:lineRule="auto"/>
              <w:ind w:firstLine="0" w:firstLineChars="0"/>
              <w:rPr>
                <w:bCs/>
                <w:sz w:val="21"/>
                <w:szCs w:val="21"/>
              </w:rPr>
            </w:pPr>
            <w:r>
              <w:rPr>
                <w:rFonts w:hint="eastAsia" w:ascii="宋体" w:hAnsi="宋体" w:cs="宋体"/>
                <w:bCs/>
                <w:sz w:val="21"/>
                <w:szCs w:val="21"/>
              </w:rPr>
              <w:t>①</w:t>
            </w:r>
            <w:r>
              <w:rPr>
                <w:bCs/>
                <w:sz w:val="21"/>
                <w:szCs w:val="21"/>
              </w:rPr>
              <w:t>明确商品检验的重要性；</w:t>
            </w:r>
          </w:p>
          <w:p>
            <w:pPr>
              <w:pStyle w:val="6"/>
              <w:spacing w:line="288" w:lineRule="auto"/>
              <w:ind w:firstLine="0" w:firstLineChars="0"/>
              <w:rPr>
                <w:bCs/>
                <w:sz w:val="21"/>
                <w:szCs w:val="21"/>
              </w:rPr>
            </w:pPr>
            <w:r>
              <w:rPr>
                <w:rFonts w:hint="eastAsia" w:ascii="宋体" w:hAnsi="宋体" w:cs="宋体"/>
                <w:bCs/>
                <w:sz w:val="21"/>
                <w:szCs w:val="21"/>
              </w:rPr>
              <w:t>②</w:t>
            </w:r>
            <w:r>
              <w:rPr>
                <w:bCs/>
                <w:sz w:val="21"/>
                <w:szCs w:val="21"/>
              </w:rPr>
              <w:t>分析商品检验条款的主要内容，明确检验机构、检验时间和地点；</w:t>
            </w:r>
          </w:p>
          <w:p>
            <w:pPr>
              <w:pStyle w:val="6"/>
              <w:spacing w:line="288" w:lineRule="auto"/>
              <w:ind w:firstLine="0" w:firstLineChars="0"/>
              <w:rPr>
                <w:bCs/>
                <w:sz w:val="21"/>
                <w:szCs w:val="21"/>
              </w:rPr>
            </w:pPr>
            <w:r>
              <w:rPr>
                <w:rFonts w:hint="eastAsia" w:ascii="宋体" w:hAnsi="宋体" w:cs="宋体"/>
                <w:bCs/>
                <w:sz w:val="21"/>
                <w:szCs w:val="21"/>
              </w:rPr>
              <w:t>③</w:t>
            </w:r>
            <w:r>
              <w:rPr>
                <w:bCs/>
                <w:sz w:val="21"/>
                <w:szCs w:val="21"/>
              </w:rPr>
              <w:t>分析产生索赔的原因；</w:t>
            </w:r>
          </w:p>
          <w:p>
            <w:pPr>
              <w:pStyle w:val="6"/>
              <w:spacing w:line="288" w:lineRule="auto"/>
              <w:ind w:firstLine="0" w:firstLineChars="0"/>
              <w:rPr>
                <w:bCs/>
                <w:sz w:val="21"/>
                <w:szCs w:val="21"/>
              </w:rPr>
            </w:pPr>
            <w:r>
              <w:rPr>
                <w:rFonts w:hint="eastAsia" w:ascii="宋体" w:hAnsi="宋体" w:cs="宋体"/>
                <w:bCs/>
                <w:sz w:val="21"/>
                <w:szCs w:val="21"/>
              </w:rPr>
              <w:t>④</w:t>
            </w:r>
            <w:r>
              <w:rPr>
                <w:bCs/>
                <w:sz w:val="21"/>
                <w:szCs w:val="21"/>
              </w:rPr>
              <w:t>明确索赔条款的重要性。</w:t>
            </w:r>
          </w:p>
          <w:p>
            <w:pPr>
              <w:spacing w:line="288" w:lineRule="auto"/>
              <w:rPr>
                <w:rFonts w:ascii="Times New Roman" w:hAnsi="Times New Roman" w:eastAsia="宋体" w:cs="Times New Roman"/>
                <w:bCs/>
                <w:snapToGrid w:val="0"/>
                <w:szCs w:val="21"/>
              </w:rPr>
            </w:pPr>
            <w:r>
              <w:rPr>
                <w:rFonts w:ascii="Times New Roman" w:hAnsi="Times New Roman" w:eastAsia="宋体" w:cs="Times New Roman"/>
                <w:bCs/>
                <w:snapToGrid w:val="0"/>
                <w:szCs w:val="21"/>
              </w:rPr>
              <w:t>2、教学难点</w:t>
            </w:r>
          </w:p>
          <w:p>
            <w:pPr>
              <w:pStyle w:val="6"/>
              <w:spacing w:line="288" w:lineRule="auto"/>
              <w:ind w:firstLine="0" w:firstLineChars="0"/>
              <w:rPr>
                <w:bCs/>
                <w:sz w:val="21"/>
                <w:szCs w:val="21"/>
              </w:rPr>
            </w:pPr>
            <w:r>
              <w:rPr>
                <w:rFonts w:hint="eastAsia" w:ascii="宋体" w:hAnsi="宋体" w:cs="宋体"/>
                <w:bCs/>
                <w:sz w:val="21"/>
                <w:szCs w:val="21"/>
              </w:rPr>
              <w:t>①</w:t>
            </w:r>
            <w:r>
              <w:rPr>
                <w:bCs/>
                <w:sz w:val="21"/>
                <w:szCs w:val="21"/>
              </w:rPr>
              <w:t>商检证书的种类与作用；</w:t>
            </w:r>
          </w:p>
          <w:p>
            <w:pPr>
              <w:pStyle w:val="6"/>
              <w:spacing w:line="288" w:lineRule="auto"/>
              <w:ind w:firstLine="0" w:firstLineChars="0"/>
              <w:rPr>
                <w:bCs/>
                <w:sz w:val="21"/>
                <w:szCs w:val="21"/>
              </w:rPr>
            </w:pPr>
            <w:r>
              <w:rPr>
                <w:rFonts w:hint="eastAsia" w:ascii="宋体" w:hAnsi="宋体" w:cs="宋体"/>
                <w:bCs/>
                <w:sz w:val="21"/>
                <w:szCs w:val="21"/>
              </w:rPr>
              <w:t>②</w:t>
            </w:r>
            <w:r>
              <w:rPr>
                <w:bCs/>
                <w:sz w:val="21"/>
                <w:szCs w:val="21"/>
              </w:rPr>
              <w:t>区分索赔与理赔；</w:t>
            </w:r>
          </w:p>
          <w:p>
            <w:pPr>
              <w:pStyle w:val="6"/>
              <w:spacing w:line="288" w:lineRule="auto"/>
              <w:ind w:firstLine="0" w:firstLineChars="0"/>
              <w:rPr>
                <w:bCs/>
                <w:sz w:val="21"/>
                <w:szCs w:val="21"/>
              </w:rPr>
            </w:pPr>
            <w:r>
              <w:rPr>
                <w:rFonts w:hint="eastAsia" w:ascii="宋体" w:hAnsi="宋体" w:cs="宋体"/>
                <w:bCs/>
                <w:sz w:val="21"/>
                <w:szCs w:val="21"/>
              </w:rPr>
              <w:t>③</w:t>
            </w:r>
            <w:r>
              <w:rPr>
                <w:bCs/>
                <w:sz w:val="21"/>
                <w:szCs w:val="21"/>
              </w:rPr>
              <w:t>违约金条款、定金条款的订立；</w:t>
            </w:r>
          </w:p>
          <w:p>
            <w:pPr>
              <w:pStyle w:val="6"/>
              <w:spacing w:line="288" w:lineRule="auto"/>
              <w:ind w:firstLine="0" w:firstLineChars="0"/>
              <w:rPr>
                <w:bCs/>
                <w:sz w:val="21"/>
                <w:szCs w:val="21"/>
              </w:rPr>
            </w:pPr>
            <w:r>
              <w:rPr>
                <w:rFonts w:hint="eastAsia" w:ascii="宋体" w:hAnsi="宋体" w:cs="宋体"/>
                <w:bCs/>
                <w:sz w:val="21"/>
                <w:szCs w:val="21"/>
              </w:rPr>
              <w:t>④</w:t>
            </w:r>
            <w:r>
              <w:rPr>
                <w:bCs/>
                <w:sz w:val="21"/>
                <w:szCs w:val="21"/>
              </w:rPr>
              <w:t>课程思政：忠实履约、诚实守信。</w:t>
            </w:r>
          </w:p>
          <w:p>
            <w:pPr>
              <w:spacing w:line="288" w:lineRule="auto"/>
              <w:rPr>
                <w:rFonts w:ascii="Times New Roman" w:hAnsi="Times New Roman" w:eastAsia="宋体" w:cs="Times New Roman"/>
                <w:bCs/>
                <w:snapToGrid w:val="0"/>
                <w:szCs w:val="21"/>
              </w:rPr>
            </w:pPr>
            <w:r>
              <w:rPr>
                <w:rFonts w:ascii="Times New Roman" w:hAnsi="Times New Roman" w:eastAsia="宋体" w:cs="Times New Roman"/>
                <w:bCs/>
                <w:snapToGrid w:val="0"/>
                <w:szCs w:val="21"/>
              </w:rPr>
              <w:t>3、教学方法：线上资源平台、</w:t>
            </w:r>
            <w:r>
              <w:rPr>
                <w:rFonts w:ascii="Times New Roman" w:hAnsi="Times New Roman" w:eastAsia="宋体" w:cs="Times New Roman"/>
                <w:bCs/>
                <w:color w:val="000000"/>
                <w:kern w:val="0"/>
                <w:szCs w:val="21"/>
              </w:rPr>
              <w:t>讲授、交流讨论、案例分析、多媒体演示、板书。</w:t>
            </w:r>
          </w:p>
        </w:tc>
        <w:tc>
          <w:tcPr>
            <w:tcW w:w="3864" w:type="dxa"/>
            <w:tcMar>
              <w:top w:w="57" w:type="dxa"/>
              <w:bottom w:w="57" w:type="dxa"/>
            </w:tcMar>
            <w:vAlign w:val="center"/>
          </w:tcPr>
          <w:p>
            <w:pPr>
              <w:pStyle w:val="48"/>
              <w:spacing w:line="288" w:lineRule="auto"/>
              <w:jc w:val="both"/>
              <w:rPr>
                <w:rFonts w:ascii="Times New Roman" w:eastAsia="宋体" w:cs="Times New Roman"/>
                <w:bCs/>
                <w:sz w:val="21"/>
                <w:szCs w:val="21"/>
              </w:rPr>
            </w:pPr>
          </w:p>
          <w:p>
            <w:pPr>
              <w:pStyle w:val="48"/>
              <w:spacing w:line="288" w:lineRule="auto"/>
              <w:jc w:val="both"/>
              <w:rPr>
                <w:rFonts w:ascii="Times New Roman" w:eastAsia="宋体" w:cs="Times New Roman"/>
                <w:bCs/>
                <w:sz w:val="21"/>
                <w:szCs w:val="21"/>
              </w:rPr>
            </w:pPr>
            <w:r>
              <w:rPr>
                <w:rFonts w:ascii="Times New Roman" w:eastAsia="宋体" w:cs="Times New Roman"/>
                <w:bCs/>
                <w:sz w:val="21"/>
                <w:szCs w:val="21"/>
              </w:rPr>
              <w:t>1、教师任务</w:t>
            </w:r>
          </w:p>
          <w:p>
            <w:pPr>
              <w:pStyle w:val="48"/>
              <w:spacing w:line="288" w:lineRule="auto"/>
              <w:jc w:val="both"/>
              <w:rPr>
                <w:rFonts w:ascii="Times New Roman" w:eastAsia="宋体" w:cs="Times New Roman"/>
                <w:bCs/>
                <w:sz w:val="21"/>
                <w:szCs w:val="21"/>
              </w:rPr>
            </w:pPr>
            <w:r>
              <w:rPr>
                <w:rFonts w:hint="eastAsia" w:ascii="宋体" w:hAnsi="宋体" w:eastAsia="宋体" w:cs="宋体"/>
                <w:bCs/>
                <w:sz w:val="21"/>
                <w:szCs w:val="21"/>
              </w:rPr>
              <w:t>①</w:t>
            </w:r>
            <w:r>
              <w:rPr>
                <w:rFonts w:ascii="Times New Roman" w:eastAsia="宋体" w:cs="Times New Roman"/>
                <w:bCs/>
                <w:sz w:val="21"/>
                <w:szCs w:val="21"/>
              </w:rPr>
              <w:t>课前发布视频和测试任务；</w:t>
            </w:r>
          </w:p>
          <w:p>
            <w:pPr>
              <w:pStyle w:val="48"/>
              <w:spacing w:line="288" w:lineRule="auto"/>
              <w:jc w:val="both"/>
              <w:rPr>
                <w:rFonts w:ascii="Times New Roman" w:eastAsia="宋体" w:cs="Times New Roman"/>
                <w:bCs/>
                <w:sz w:val="21"/>
                <w:szCs w:val="21"/>
              </w:rPr>
            </w:pPr>
            <w:r>
              <w:rPr>
                <w:rFonts w:hint="eastAsia" w:ascii="宋体" w:hAnsi="宋体" w:eastAsia="宋体" w:cs="宋体"/>
                <w:bCs/>
                <w:sz w:val="21"/>
                <w:szCs w:val="21"/>
              </w:rPr>
              <w:t>②</w:t>
            </w:r>
            <w:r>
              <w:rPr>
                <w:rFonts w:ascii="Times New Roman" w:eastAsia="宋体" w:cs="Times New Roman"/>
                <w:bCs/>
                <w:sz w:val="21"/>
                <w:szCs w:val="21"/>
              </w:rPr>
              <w:t>介绍本章节学习目标；</w:t>
            </w:r>
          </w:p>
          <w:p>
            <w:pPr>
              <w:pStyle w:val="48"/>
              <w:spacing w:line="288" w:lineRule="auto"/>
              <w:jc w:val="both"/>
              <w:rPr>
                <w:rFonts w:ascii="Times New Roman" w:eastAsia="宋体" w:cs="Times New Roman"/>
                <w:bCs/>
                <w:sz w:val="21"/>
                <w:szCs w:val="21"/>
              </w:rPr>
            </w:pPr>
            <w:r>
              <w:rPr>
                <w:rFonts w:hint="eastAsia" w:ascii="宋体" w:hAnsi="宋体" w:eastAsia="宋体" w:cs="宋体"/>
                <w:bCs/>
                <w:sz w:val="21"/>
                <w:szCs w:val="21"/>
              </w:rPr>
              <w:t>③</w:t>
            </w:r>
            <w:r>
              <w:rPr>
                <w:rFonts w:ascii="Times New Roman" w:eastAsia="宋体" w:cs="Times New Roman"/>
                <w:bCs/>
                <w:sz w:val="21"/>
                <w:szCs w:val="21"/>
              </w:rPr>
              <w:t>课中讲解商品检验和索赔条款相关知识；</w:t>
            </w:r>
          </w:p>
          <w:p>
            <w:pPr>
              <w:pStyle w:val="48"/>
              <w:spacing w:line="288" w:lineRule="auto"/>
              <w:jc w:val="both"/>
              <w:rPr>
                <w:rFonts w:ascii="Times New Roman" w:eastAsia="宋体" w:cs="Times New Roman"/>
                <w:bCs/>
                <w:sz w:val="21"/>
                <w:szCs w:val="21"/>
              </w:rPr>
            </w:pPr>
            <w:r>
              <w:rPr>
                <w:rFonts w:hint="eastAsia" w:ascii="宋体" w:hAnsi="宋体" w:eastAsia="宋体" w:cs="宋体"/>
                <w:bCs/>
                <w:sz w:val="21"/>
                <w:szCs w:val="21"/>
              </w:rPr>
              <w:t>④</w:t>
            </w:r>
            <w:r>
              <w:rPr>
                <w:rFonts w:ascii="Times New Roman" w:eastAsia="宋体" w:cs="Times New Roman"/>
                <w:bCs/>
                <w:sz w:val="21"/>
                <w:szCs w:val="21"/>
              </w:rPr>
              <w:t>以案例形式导入课堂教学，如重量单与净重检验证书的区别；</w:t>
            </w:r>
          </w:p>
          <w:p>
            <w:pPr>
              <w:pStyle w:val="48"/>
              <w:spacing w:line="288" w:lineRule="auto"/>
              <w:jc w:val="both"/>
              <w:rPr>
                <w:rFonts w:ascii="Times New Roman" w:eastAsia="宋体" w:cs="Times New Roman"/>
                <w:bCs/>
                <w:sz w:val="21"/>
                <w:szCs w:val="21"/>
              </w:rPr>
            </w:pPr>
            <w:r>
              <w:rPr>
                <w:rFonts w:hint="eastAsia" w:ascii="宋体" w:hAnsi="宋体" w:eastAsia="宋体" w:cs="宋体"/>
                <w:bCs/>
                <w:sz w:val="21"/>
                <w:szCs w:val="21"/>
              </w:rPr>
              <w:t>⑤</w:t>
            </w:r>
            <w:r>
              <w:rPr>
                <w:rFonts w:ascii="Times New Roman" w:eastAsia="宋体" w:cs="Times New Roman"/>
                <w:bCs/>
                <w:sz w:val="21"/>
                <w:szCs w:val="21"/>
              </w:rPr>
              <w:t>以文献方式讲解如何处理索赔与理赔：从一则案例分析进出口贸易中间商如何处理索赔理赔；</w:t>
            </w:r>
          </w:p>
          <w:p>
            <w:pPr>
              <w:pStyle w:val="48"/>
              <w:spacing w:line="288" w:lineRule="auto"/>
              <w:jc w:val="both"/>
              <w:rPr>
                <w:rFonts w:ascii="Times New Roman" w:eastAsia="宋体" w:cs="Times New Roman"/>
                <w:bCs/>
                <w:sz w:val="21"/>
                <w:szCs w:val="21"/>
              </w:rPr>
            </w:pPr>
            <w:r>
              <w:rPr>
                <w:rFonts w:hint="eastAsia" w:ascii="宋体" w:hAnsi="宋体" w:eastAsia="宋体" w:cs="宋体"/>
                <w:bCs/>
                <w:sz w:val="21"/>
                <w:szCs w:val="21"/>
              </w:rPr>
              <w:t>⑥</w:t>
            </w:r>
            <w:r>
              <w:rPr>
                <w:rFonts w:ascii="Times New Roman" w:eastAsia="宋体" w:cs="Times New Roman"/>
                <w:bCs/>
                <w:sz w:val="21"/>
                <w:szCs w:val="21"/>
              </w:rPr>
              <w:t>小组讨论案例结束课程内容；</w:t>
            </w:r>
          </w:p>
          <w:p>
            <w:pPr>
              <w:pStyle w:val="48"/>
              <w:spacing w:line="288" w:lineRule="auto"/>
              <w:jc w:val="both"/>
              <w:rPr>
                <w:rFonts w:ascii="Times New Roman" w:eastAsia="宋体" w:cs="Times New Roman"/>
                <w:bCs/>
                <w:sz w:val="21"/>
                <w:szCs w:val="21"/>
              </w:rPr>
            </w:pPr>
            <w:r>
              <w:rPr>
                <w:rFonts w:hint="eastAsia" w:ascii="宋体" w:hAnsi="宋体" w:eastAsia="宋体" w:cs="宋体"/>
                <w:bCs/>
                <w:sz w:val="21"/>
                <w:szCs w:val="21"/>
              </w:rPr>
              <w:t>⑦</w:t>
            </w:r>
            <w:r>
              <w:rPr>
                <w:rFonts w:ascii="Times New Roman" w:eastAsia="宋体" w:cs="Times New Roman"/>
                <w:bCs/>
                <w:sz w:val="21"/>
                <w:szCs w:val="21"/>
              </w:rPr>
              <w:t>发布下节课任务单，并反思。</w:t>
            </w:r>
          </w:p>
          <w:p>
            <w:pPr>
              <w:pStyle w:val="48"/>
              <w:spacing w:line="288" w:lineRule="auto"/>
              <w:jc w:val="both"/>
              <w:rPr>
                <w:rFonts w:ascii="Times New Roman" w:eastAsia="宋体" w:cs="Times New Roman"/>
                <w:bCs/>
                <w:sz w:val="21"/>
                <w:szCs w:val="21"/>
              </w:rPr>
            </w:pPr>
            <w:r>
              <w:rPr>
                <w:rFonts w:ascii="Times New Roman" w:eastAsia="宋体" w:cs="Times New Roman"/>
                <w:bCs/>
                <w:sz w:val="21"/>
                <w:szCs w:val="21"/>
              </w:rPr>
              <w:t>2、学生任务</w:t>
            </w:r>
          </w:p>
          <w:p>
            <w:pPr>
              <w:pStyle w:val="48"/>
              <w:spacing w:line="288" w:lineRule="auto"/>
              <w:jc w:val="both"/>
              <w:rPr>
                <w:rFonts w:ascii="Times New Roman" w:eastAsia="宋体" w:cs="Times New Roman"/>
                <w:bCs/>
                <w:sz w:val="21"/>
                <w:szCs w:val="21"/>
              </w:rPr>
            </w:pPr>
            <w:r>
              <w:rPr>
                <w:rFonts w:hint="eastAsia" w:ascii="宋体" w:hAnsi="宋体" w:eastAsia="宋体" w:cs="宋体"/>
                <w:bCs/>
                <w:sz w:val="21"/>
                <w:szCs w:val="21"/>
              </w:rPr>
              <w:t>①</w:t>
            </w:r>
            <w:r>
              <w:rPr>
                <w:rFonts w:ascii="Times New Roman" w:eastAsia="宋体" w:cs="Times New Roman"/>
                <w:bCs/>
                <w:sz w:val="21"/>
                <w:szCs w:val="21"/>
              </w:rPr>
              <w:t>课前观看FIF平台视频与课件；</w:t>
            </w:r>
          </w:p>
          <w:p>
            <w:pPr>
              <w:pStyle w:val="48"/>
              <w:spacing w:line="288" w:lineRule="auto"/>
              <w:jc w:val="both"/>
              <w:rPr>
                <w:rFonts w:ascii="Times New Roman" w:eastAsia="宋体" w:cs="Times New Roman"/>
                <w:bCs/>
                <w:sz w:val="21"/>
                <w:szCs w:val="21"/>
              </w:rPr>
            </w:pPr>
            <w:r>
              <w:rPr>
                <w:rFonts w:hint="eastAsia" w:ascii="宋体" w:hAnsi="宋体" w:eastAsia="宋体" w:cs="宋体"/>
                <w:bCs/>
                <w:sz w:val="21"/>
                <w:szCs w:val="21"/>
              </w:rPr>
              <w:t>②</w:t>
            </w:r>
            <w:r>
              <w:rPr>
                <w:rFonts w:ascii="Times New Roman" w:eastAsia="宋体" w:cs="Times New Roman"/>
                <w:bCs/>
                <w:sz w:val="21"/>
                <w:szCs w:val="21"/>
              </w:rPr>
              <w:t>完成在线测试；</w:t>
            </w:r>
          </w:p>
          <w:p>
            <w:pPr>
              <w:pStyle w:val="48"/>
              <w:spacing w:line="288" w:lineRule="auto"/>
              <w:jc w:val="both"/>
              <w:rPr>
                <w:rFonts w:ascii="Times New Roman" w:eastAsia="宋体" w:cs="Times New Roman"/>
                <w:bCs/>
                <w:sz w:val="21"/>
                <w:szCs w:val="21"/>
              </w:rPr>
            </w:pPr>
            <w:r>
              <w:rPr>
                <w:rFonts w:hint="eastAsia" w:ascii="宋体" w:hAnsi="宋体" w:eastAsia="宋体" w:cs="宋体"/>
                <w:bCs/>
                <w:sz w:val="21"/>
                <w:szCs w:val="21"/>
              </w:rPr>
              <w:t>③</w:t>
            </w:r>
            <w:r>
              <w:rPr>
                <w:rFonts w:ascii="Times New Roman" w:eastAsia="宋体" w:cs="Times New Roman"/>
                <w:bCs/>
                <w:sz w:val="21"/>
                <w:szCs w:val="21"/>
              </w:rPr>
              <w:t>阅读文献：买方常见违约问题分析、应对及预防——以江门某电子有限公司业务为例；</w:t>
            </w:r>
          </w:p>
          <w:p>
            <w:pPr>
              <w:pStyle w:val="48"/>
              <w:spacing w:line="288" w:lineRule="auto"/>
              <w:jc w:val="both"/>
              <w:rPr>
                <w:rFonts w:ascii="Times New Roman" w:eastAsia="宋体" w:cs="Times New Roman"/>
                <w:bCs/>
                <w:sz w:val="21"/>
                <w:szCs w:val="21"/>
              </w:rPr>
            </w:pPr>
            <w:r>
              <w:rPr>
                <w:rFonts w:hint="eastAsia" w:ascii="宋体" w:hAnsi="宋体" w:eastAsia="宋体" w:cs="宋体"/>
                <w:bCs/>
                <w:sz w:val="21"/>
                <w:szCs w:val="21"/>
              </w:rPr>
              <w:t>④</w:t>
            </w:r>
            <w:r>
              <w:rPr>
                <w:rFonts w:ascii="Times New Roman" w:eastAsia="宋体" w:cs="Times New Roman"/>
                <w:bCs/>
                <w:sz w:val="21"/>
                <w:szCs w:val="21"/>
              </w:rPr>
              <w:t>思维导图总结，做好学习笔记；</w:t>
            </w:r>
          </w:p>
          <w:p>
            <w:pPr>
              <w:pStyle w:val="48"/>
              <w:spacing w:line="288" w:lineRule="auto"/>
              <w:jc w:val="both"/>
              <w:rPr>
                <w:rFonts w:ascii="Times New Roman" w:eastAsia="宋体" w:cs="Times New Roman"/>
                <w:bCs/>
                <w:sz w:val="21"/>
                <w:szCs w:val="21"/>
              </w:rPr>
            </w:pPr>
            <w:r>
              <w:rPr>
                <w:rFonts w:hint="eastAsia" w:ascii="宋体" w:hAnsi="宋体" w:eastAsia="宋体" w:cs="宋体"/>
                <w:bCs/>
                <w:sz w:val="21"/>
                <w:szCs w:val="21"/>
              </w:rPr>
              <w:t>⑤</w:t>
            </w:r>
            <w:r>
              <w:rPr>
                <w:rFonts w:ascii="Times New Roman" w:eastAsia="宋体" w:cs="Times New Roman"/>
                <w:bCs/>
                <w:sz w:val="21"/>
                <w:szCs w:val="21"/>
              </w:rPr>
              <w:t>完成课后思考题。</w:t>
            </w:r>
          </w:p>
          <w:p>
            <w:pPr>
              <w:pStyle w:val="48"/>
              <w:spacing w:line="288" w:lineRule="auto"/>
              <w:jc w:val="both"/>
              <w:rPr>
                <w:rFonts w:ascii="Times New Roman" w:eastAsia="宋体" w:cs="Times New Roman"/>
                <w:bCs/>
                <w:snapToGrid w:val="0"/>
                <w:color w:val="auto"/>
                <w:kern w:val="2"/>
                <w:sz w:val="21"/>
                <w:szCs w:val="21"/>
              </w:rPr>
            </w:pPr>
          </w:p>
          <w:p>
            <w:pPr>
              <w:pStyle w:val="48"/>
              <w:spacing w:line="288" w:lineRule="auto"/>
              <w:jc w:val="both"/>
              <w:rPr>
                <w:rFonts w:ascii="Times New Roman" w:eastAsia="宋体" w:cs="Times New Roman"/>
                <w:bCs/>
                <w:snapToGrid w:val="0"/>
                <w:color w:val="auto"/>
                <w:kern w:val="2"/>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28" w:type="dxa"/>
            <w:bottom w:w="28" w:type="dxa"/>
            <w:right w:w="28" w:type="dxa"/>
          </w:tblCellMar>
        </w:tblPrEx>
        <w:trPr>
          <w:trHeight w:val="20" w:hRule="atLeast"/>
          <w:jc w:val="center"/>
        </w:trPr>
        <w:tc>
          <w:tcPr>
            <w:tcW w:w="0" w:type="auto"/>
            <w:tcMar>
              <w:top w:w="57" w:type="dxa"/>
              <w:bottom w:w="57" w:type="dxa"/>
            </w:tcMar>
            <w:vAlign w:val="center"/>
          </w:tcPr>
          <w:p>
            <w:pPr>
              <w:spacing w:line="288" w:lineRule="auto"/>
              <w:jc w:val="center"/>
              <w:rPr>
                <w:rFonts w:ascii="Times New Roman" w:hAnsi="Times New Roman" w:eastAsia="宋体" w:cs="Times New Roman"/>
                <w:bCs/>
                <w:snapToGrid w:val="0"/>
                <w:szCs w:val="21"/>
              </w:rPr>
            </w:pPr>
            <w:r>
              <w:rPr>
                <w:rFonts w:ascii="Times New Roman" w:hAnsi="Times New Roman" w:eastAsia="宋体" w:cs="Times New Roman"/>
                <w:bCs/>
                <w:snapToGrid w:val="0"/>
                <w:szCs w:val="21"/>
              </w:rPr>
              <w:t>13</w:t>
            </w:r>
          </w:p>
        </w:tc>
        <w:tc>
          <w:tcPr>
            <w:tcW w:w="890" w:type="dxa"/>
            <w:vAlign w:val="center"/>
          </w:tcPr>
          <w:p>
            <w:pPr>
              <w:spacing w:line="288" w:lineRule="auto"/>
              <w:jc w:val="center"/>
              <w:rPr>
                <w:rFonts w:ascii="Times New Roman" w:hAnsi="Times New Roman" w:eastAsia="宋体" w:cs="Times New Roman"/>
                <w:bCs/>
                <w:snapToGrid w:val="0"/>
                <w:szCs w:val="21"/>
              </w:rPr>
            </w:pPr>
            <w:r>
              <w:rPr>
                <w:rFonts w:ascii="Times New Roman" w:hAnsi="Times New Roman" w:eastAsia="宋体" w:cs="Times New Roman"/>
                <w:bCs/>
                <w:snapToGrid w:val="0"/>
                <w:szCs w:val="21"/>
              </w:rPr>
              <w:t>第八章</w:t>
            </w:r>
          </w:p>
          <w:p>
            <w:pPr>
              <w:pStyle w:val="6"/>
              <w:spacing w:line="288" w:lineRule="auto"/>
              <w:ind w:firstLine="0" w:firstLineChars="0"/>
              <w:jc w:val="center"/>
              <w:rPr>
                <w:bCs/>
                <w:sz w:val="21"/>
                <w:szCs w:val="21"/>
              </w:rPr>
            </w:pPr>
            <w:r>
              <w:rPr>
                <w:bCs/>
                <w:snapToGrid w:val="0"/>
                <w:sz w:val="21"/>
                <w:szCs w:val="21"/>
              </w:rPr>
              <w:t>不可抗力与仲裁</w:t>
            </w:r>
          </w:p>
        </w:tc>
        <w:tc>
          <w:tcPr>
            <w:tcW w:w="3544" w:type="dxa"/>
            <w:tcMar>
              <w:top w:w="57" w:type="dxa"/>
              <w:bottom w:w="57" w:type="dxa"/>
            </w:tcMar>
            <w:vAlign w:val="center"/>
          </w:tcPr>
          <w:p>
            <w:pPr>
              <w:spacing w:line="288" w:lineRule="auto"/>
              <w:rPr>
                <w:rFonts w:ascii="Times New Roman" w:hAnsi="Times New Roman" w:eastAsia="宋体" w:cs="Times New Roman"/>
                <w:bCs/>
                <w:snapToGrid w:val="0"/>
                <w:szCs w:val="21"/>
              </w:rPr>
            </w:pPr>
            <w:r>
              <w:rPr>
                <w:rFonts w:ascii="Times New Roman" w:hAnsi="Times New Roman" w:eastAsia="宋体" w:cs="Times New Roman"/>
                <w:bCs/>
                <w:snapToGrid w:val="0"/>
                <w:szCs w:val="21"/>
              </w:rPr>
              <w:t>1、不可抗力</w:t>
            </w:r>
          </w:p>
          <w:p>
            <w:pPr>
              <w:spacing w:line="288" w:lineRule="auto"/>
              <w:rPr>
                <w:rFonts w:ascii="Times New Roman" w:hAnsi="Times New Roman" w:eastAsia="宋体" w:cs="Times New Roman"/>
                <w:bCs/>
                <w:snapToGrid w:val="0"/>
                <w:szCs w:val="21"/>
              </w:rPr>
            </w:pPr>
            <w:r>
              <w:rPr>
                <w:rFonts w:ascii="Times New Roman" w:hAnsi="Times New Roman" w:eastAsia="宋体" w:cs="Times New Roman"/>
                <w:bCs/>
                <w:snapToGrid w:val="0"/>
                <w:szCs w:val="21"/>
              </w:rPr>
              <w:t>2、国际贸易仲裁</w:t>
            </w:r>
          </w:p>
        </w:tc>
        <w:tc>
          <w:tcPr>
            <w:tcW w:w="5103" w:type="dxa"/>
            <w:tcMar>
              <w:top w:w="57" w:type="dxa"/>
              <w:bottom w:w="57" w:type="dxa"/>
            </w:tcMar>
            <w:vAlign w:val="center"/>
          </w:tcPr>
          <w:p>
            <w:pPr>
              <w:spacing w:line="288" w:lineRule="auto"/>
              <w:rPr>
                <w:rFonts w:ascii="Times New Roman" w:hAnsi="Times New Roman" w:eastAsia="宋体" w:cs="Times New Roman"/>
                <w:bCs/>
                <w:snapToGrid w:val="0"/>
                <w:szCs w:val="21"/>
              </w:rPr>
            </w:pPr>
            <w:r>
              <w:rPr>
                <w:rFonts w:ascii="Times New Roman" w:hAnsi="Times New Roman" w:eastAsia="宋体" w:cs="Times New Roman"/>
                <w:bCs/>
                <w:snapToGrid w:val="0"/>
                <w:szCs w:val="21"/>
              </w:rPr>
              <w:t>1、教学重点</w:t>
            </w:r>
          </w:p>
          <w:p>
            <w:pPr>
              <w:pStyle w:val="6"/>
              <w:spacing w:line="288" w:lineRule="auto"/>
              <w:ind w:firstLine="0" w:firstLineChars="0"/>
              <w:rPr>
                <w:bCs/>
                <w:sz w:val="21"/>
                <w:szCs w:val="21"/>
              </w:rPr>
            </w:pPr>
            <w:r>
              <w:rPr>
                <w:rFonts w:hint="eastAsia" w:ascii="宋体" w:hAnsi="宋体" w:cs="宋体"/>
                <w:bCs/>
                <w:sz w:val="21"/>
                <w:szCs w:val="21"/>
              </w:rPr>
              <w:t>①</w:t>
            </w:r>
            <w:r>
              <w:rPr>
                <w:bCs/>
                <w:sz w:val="21"/>
                <w:szCs w:val="21"/>
              </w:rPr>
              <w:t>明确约定不可抗力条款的意义；</w:t>
            </w:r>
          </w:p>
          <w:p>
            <w:pPr>
              <w:pStyle w:val="6"/>
              <w:spacing w:line="288" w:lineRule="auto"/>
              <w:ind w:firstLine="0" w:firstLineChars="0"/>
              <w:rPr>
                <w:bCs/>
                <w:sz w:val="21"/>
                <w:szCs w:val="21"/>
              </w:rPr>
            </w:pPr>
            <w:r>
              <w:rPr>
                <w:rFonts w:hint="eastAsia" w:ascii="宋体" w:hAnsi="宋体" w:cs="宋体"/>
                <w:bCs/>
                <w:sz w:val="21"/>
                <w:szCs w:val="21"/>
              </w:rPr>
              <w:t>②</w:t>
            </w:r>
            <w:r>
              <w:rPr>
                <w:bCs/>
                <w:sz w:val="21"/>
                <w:szCs w:val="21"/>
              </w:rPr>
              <w:t>不可抗力的概念；</w:t>
            </w:r>
          </w:p>
          <w:p>
            <w:pPr>
              <w:pStyle w:val="6"/>
              <w:spacing w:line="288" w:lineRule="auto"/>
              <w:ind w:firstLine="0" w:firstLineChars="0"/>
              <w:rPr>
                <w:bCs/>
                <w:sz w:val="21"/>
                <w:szCs w:val="21"/>
              </w:rPr>
            </w:pPr>
            <w:r>
              <w:rPr>
                <w:rFonts w:hint="eastAsia" w:ascii="宋体" w:hAnsi="宋体" w:cs="宋体"/>
                <w:bCs/>
                <w:sz w:val="21"/>
                <w:szCs w:val="21"/>
              </w:rPr>
              <w:t>③</w:t>
            </w:r>
            <w:r>
              <w:rPr>
                <w:bCs/>
                <w:sz w:val="21"/>
                <w:szCs w:val="21"/>
              </w:rPr>
              <w:t>仲裁的概念；</w:t>
            </w:r>
          </w:p>
          <w:p>
            <w:pPr>
              <w:pStyle w:val="6"/>
              <w:spacing w:line="288" w:lineRule="auto"/>
              <w:ind w:firstLine="0" w:firstLineChars="0"/>
              <w:rPr>
                <w:bCs/>
                <w:sz w:val="21"/>
                <w:szCs w:val="21"/>
              </w:rPr>
            </w:pPr>
            <w:r>
              <w:rPr>
                <w:rFonts w:hint="eastAsia" w:ascii="宋体" w:hAnsi="宋体" w:cs="宋体"/>
                <w:bCs/>
                <w:sz w:val="21"/>
                <w:szCs w:val="21"/>
              </w:rPr>
              <w:t>④</w:t>
            </w:r>
            <w:r>
              <w:rPr>
                <w:bCs/>
                <w:sz w:val="21"/>
                <w:szCs w:val="21"/>
              </w:rPr>
              <w:t>仲裁的作用。</w:t>
            </w:r>
          </w:p>
          <w:p>
            <w:pPr>
              <w:spacing w:line="288" w:lineRule="auto"/>
              <w:rPr>
                <w:rFonts w:ascii="Times New Roman" w:hAnsi="Times New Roman" w:eastAsia="宋体" w:cs="Times New Roman"/>
                <w:bCs/>
                <w:snapToGrid w:val="0"/>
                <w:szCs w:val="21"/>
              </w:rPr>
            </w:pPr>
            <w:r>
              <w:rPr>
                <w:rFonts w:ascii="Times New Roman" w:hAnsi="Times New Roman" w:eastAsia="宋体" w:cs="Times New Roman"/>
                <w:bCs/>
                <w:snapToGrid w:val="0"/>
                <w:szCs w:val="21"/>
              </w:rPr>
              <w:t>2、教学难点</w:t>
            </w:r>
          </w:p>
          <w:p>
            <w:pPr>
              <w:pStyle w:val="6"/>
              <w:spacing w:line="288" w:lineRule="auto"/>
              <w:ind w:firstLine="0" w:firstLineChars="0"/>
              <w:rPr>
                <w:bCs/>
                <w:sz w:val="21"/>
                <w:szCs w:val="21"/>
              </w:rPr>
            </w:pPr>
            <w:r>
              <w:rPr>
                <w:rFonts w:hint="eastAsia" w:ascii="宋体" w:hAnsi="宋体" w:cs="宋体"/>
                <w:bCs/>
                <w:sz w:val="21"/>
                <w:szCs w:val="21"/>
              </w:rPr>
              <w:t>①</w:t>
            </w:r>
            <w:r>
              <w:rPr>
                <w:bCs/>
                <w:sz w:val="21"/>
                <w:szCs w:val="21"/>
              </w:rPr>
              <w:t>不可抗力的构成条件；</w:t>
            </w:r>
          </w:p>
          <w:p>
            <w:pPr>
              <w:pStyle w:val="6"/>
              <w:spacing w:line="288" w:lineRule="auto"/>
              <w:ind w:firstLine="0" w:firstLineChars="0"/>
              <w:rPr>
                <w:bCs/>
                <w:sz w:val="21"/>
                <w:szCs w:val="21"/>
              </w:rPr>
            </w:pPr>
            <w:r>
              <w:rPr>
                <w:rFonts w:hint="eastAsia" w:ascii="宋体" w:hAnsi="宋体" w:cs="宋体"/>
                <w:bCs/>
                <w:sz w:val="21"/>
                <w:szCs w:val="21"/>
              </w:rPr>
              <w:t>②</w:t>
            </w:r>
            <w:r>
              <w:rPr>
                <w:bCs/>
                <w:sz w:val="21"/>
                <w:szCs w:val="21"/>
              </w:rPr>
              <w:t>区分不可抗力与商业风险；</w:t>
            </w:r>
          </w:p>
          <w:p>
            <w:pPr>
              <w:pStyle w:val="6"/>
              <w:spacing w:line="288" w:lineRule="auto"/>
              <w:ind w:firstLine="0" w:firstLineChars="0"/>
              <w:rPr>
                <w:bCs/>
                <w:sz w:val="21"/>
                <w:szCs w:val="21"/>
              </w:rPr>
            </w:pPr>
            <w:r>
              <w:rPr>
                <w:rFonts w:hint="eastAsia" w:ascii="宋体" w:hAnsi="宋体" w:cs="宋体"/>
                <w:bCs/>
                <w:sz w:val="21"/>
                <w:szCs w:val="21"/>
              </w:rPr>
              <w:t>③</w:t>
            </w:r>
            <w:r>
              <w:rPr>
                <w:bCs/>
                <w:sz w:val="21"/>
                <w:szCs w:val="21"/>
              </w:rPr>
              <w:t>区分友好协商、调解、仲裁与诉讼；</w:t>
            </w:r>
          </w:p>
          <w:p>
            <w:pPr>
              <w:pStyle w:val="6"/>
              <w:spacing w:line="288" w:lineRule="auto"/>
              <w:ind w:firstLine="0" w:firstLineChars="0"/>
              <w:rPr>
                <w:bCs/>
                <w:sz w:val="21"/>
                <w:szCs w:val="21"/>
              </w:rPr>
            </w:pPr>
            <w:r>
              <w:rPr>
                <w:rFonts w:hint="eastAsia" w:ascii="宋体" w:hAnsi="宋体" w:cs="宋体"/>
                <w:bCs/>
                <w:sz w:val="21"/>
                <w:szCs w:val="21"/>
              </w:rPr>
              <w:t>④</w:t>
            </w:r>
            <w:r>
              <w:rPr>
                <w:bCs/>
                <w:sz w:val="21"/>
                <w:szCs w:val="21"/>
              </w:rPr>
              <w:t>课程思政：服务精神、责任感。</w:t>
            </w:r>
          </w:p>
          <w:p>
            <w:pPr>
              <w:spacing w:line="288" w:lineRule="auto"/>
              <w:rPr>
                <w:rFonts w:ascii="Times New Roman" w:hAnsi="Times New Roman" w:eastAsia="宋体" w:cs="Times New Roman"/>
                <w:bCs/>
                <w:snapToGrid w:val="0"/>
                <w:szCs w:val="21"/>
              </w:rPr>
            </w:pPr>
            <w:r>
              <w:rPr>
                <w:rFonts w:ascii="Times New Roman" w:hAnsi="Times New Roman" w:eastAsia="宋体" w:cs="Times New Roman"/>
                <w:bCs/>
                <w:snapToGrid w:val="0"/>
                <w:szCs w:val="21"/>
              </w:rPr>
              <w:t>3、教学方法：线上资源平台、</w:t>
            </w:r>
            <w:r>
              <w:rPr>
                <w:rFonts w:ascii="Times New Roman" w:hAnsi="Times New Roman" w:eastAsia="宋体" w:cs="Times New Roman"/>
                <w:bCs/>
                <w:color w:val="000000"/>
                <w:kern w:val="0"/>
                <w:szCs w:val="21"/>
              </w:rPr>
              <w:t>讲授、交流讨论、案例分析、多媒体演示、板书。</w:t>
            </w:r>
          </w:p>
          <w:p>
            <w:pPr>
              <w:spacing w:line="288" w:lineRule="auto"/>
              <w:rPr>
                <w:rFonts w:ascii="Times New Roman" w:hAnsi="Times New Roman" w:eastAsia="宋体" w:cs="Times New Roman"/>
                <w:bCs/>
                <w:snapToGrid w:val="0"/>
                <w:szCs w:val="21"/>
              </w:rPr>
            </w:pPr>
          </w:p>
        </w:tc>
        <w:tc>
          <w:tcPr>
            <w:tcW w:w="3864" w:type="dxa"/>
            <w:tcMar>
              <w:top w:w="57" w:type="dxa"/>
              <w:bottom w:w="57" w:type="dxa"/>
            </w:tcMar>
            <w:vAlign w:val="center"/>
          </w:tcPr>
          <w:p>
            <w:pPr>
              <w:pStyle w:val="48"/>
              <w:spacing w:line="288" w:lineRule="auto"/>
              <w:jc w:val="both"/>
              <w:rPr>
                <w:rFonts w:ascii="Times New Roman" w:eastAsia="宋体" w:cs="Times New Roman"/>
                <w:bCs/>
                <w:sz w:val="21"/>
                <w:szCs w:val="21"/>
              </w:rPr>
            </w:pPr>
            <w:r>
              <w:rPr>
                <w:rFonts w:ascii="Times New Roman" w:eastAsia="宋体" w:cs="Times New Roman"/>
                <w:bCs/>
                <w:sz w:val="21"/>
                <w:szCs w:val="21"/>
              </w:rPr>
              <w:t>1、教师任务</w:t>
            </w:r>
          </w:p>
          <w:p>
            <w:pPr>
              <w:pStyle w:val="48"/>
              <w:spacing w:line="288" w:lineRule="auto"/>
              <w:jc w:val="both"/>
              <w:rPr>
                <w:rFonts w:ascii="Times New Roman" w:eastAsia="宋体" w:cs="Times New Roman"/>
                <w:bCs/>
                <w:sz w:val="21"/>
                <w:szCs w:val="21"/>
              </w:rPr>
            </w:pPr>
            <w:r>
              <w:rPr>
                <w:rFonts w:hint="eastAsia" w:ascii="宋体" w:hAnsi="宋体" w:eastAsia="宋体" w:cs="宋体"/>
                <w:bCs/>
                <w:sz w:val="21"/>
                <w:szCs w:val="21"/>
              </w:rPr>
              <w:t>①</w:t>
            </w:r>
            <w:r>
              <w:rPr>
                <w:rFonts w:ascii="Times New Roman" w:eastAsia="宋体" w:cs="Times New Roman"/>
                <w:bCs/>
                <w:sz w:val="21"/>
                <w:szCs w:val="21"/>
              </w:rPr>
              <w:t>课前发布视频和测试任务；</w:t>
            </w:r>
          </w:p>
          <w:p>
            <w:pPr>
              <w:pStyle w:val="48"/>
              <w:spacing w:line="288" w:lineRule="auto"/>
              <w:jc w:val="both"/>
              <w:rPr>
                <w:rFonts w:ascii="Times New Roman" w:eastAsia="宋体" w:cs="Times New Roman"/>
                <w:bCs/>
                <w:sz w:val="21"/>
                <w:szCs w:val="21"/>
              </w:rPr>
            </w:pPr>
            <w:r>
              <w:rPr>
                <w:rFonts w:hint="eastAsia" w:ascii="宋体" w:hAnsi="宋体" w:eastAsia="宋体" w:cs="宋体"/>
                <w:bCs/>
                <w:sz w:val="21"/>
                <w:szCs w:val="21"/>
              </w:rPr>
              <w:t>②</w:t>
            </w:r>
            <w:r>
              <w:rPr>
                <w:rFonts w:ascii="Times New Roman" w:eastAsia="宋体" w:cs="Times New Roman"/>
                <w:bCs/>
                <w:sz w:val="21"/>
                <w:szCs w:val="21"/>
              </w:rPr>
              <w:t>介绍本章节学习目标；</w:t>
            </w:r>
          </w:p>
          <w:p>
            <w:pPr>
              <w:pStyle w:val="48"/>
              <w:spacing w:line="288" w:lineRule="auto"/>
              <w:jc w:val="both"/>
              <w:rPr>
                <w:rFonts w:ascii="Times New Roman" w:eastAsia="宋体" w:cs="Times New Roman"/>
                <w:bCs/>
                <w:sz w:val="21"/>
                <w:szCs w:val="21"/>
              </w:rPr>
            </w:pPr>
            <w:r>
              <w:rPr>
                <w:rFonts w:hint="eastAsia" w:ascii="宋体" w:hAnsi="宋体" w:eastAsia="宋体" w:cs="宋体"/>
                <w:bCs/>
                <w:sz w:val="21"/>
                <w:szCs w:val="21"/>
              </w:rPr>
              <w:t>③</w:t>
            </w:r>
            <w:r>
              <w:rPr>
                <w:rFonts w:ascii="Times New Roman" w:eastAsia="宋体" w:cs="Times New Roman"/>
                <w:bCs/>
                <w:sz w:val="21"/>
                <w:szCs w:val="21"/>
              </w:rPr>
              <w:t>课中讲解不可抗力和仲裁概念与作用、条款主要内容；</w:t>
            </w:r>
          </w:p>
          <w:p>
            <w:pPr>
              <w:pStyle w:val="48"/>
              <w:spacing w:line="288" w:lineRule="auto"/>
              <w:jc w:val="both"/>
              <w:rPr>
                <w:rFonts w:ascii="Times New Roman" w:eastAsia="宋体" w:cs="Times New Roman"/>
                <w:bCs/>
                <w:sz w:val="21"/>
                <w:szCs w:val="21"/>
              </w:rPr>
            </w:pPr>
            <w:r>
              <w:rPr>
                <w:rFonts w:hint="eastAsia" w:ascii="宋体" w:hAnsi="宋体" w:eastAsia="宋体" w:cs="宋体"/>
                <w:bCs/>
                <w:sz w:val="21"/>
                <w:szCs w:val="21"/>
              </w:rPr>
              <w:t>④</w:t>
            </w:r>
            <w:r>
              <w:rPr>
                <w:rFonts w:ascii="Times New Roman" w:eastAsia="宋体" w:cs="Times New Roman"/>
                <w:bCs/>
                <w:sz w:val="21"/>
                <w:szCs w:val="21"/>
              </w:rPr>
              <w:t>以案例分析形式要求学生进行小组讨论并总结不可抗力范围；</w:t>
            </w:r>
          </w:p>
          <w:p>
            <w:pPr>
              <w:pStyle w:val="48"/>
              <w:spacing w:line="288" w:lineRule="auto"/>
              <w:jc w:val="both"/>
              <w:rPr>
                <w:rFonts w:ascii="Times New Roman" w:eastAsia="宋体" w:cs="Times New Roman"/>
                <w:bCs/>
                <w:sz w:val="21"/>
                <w:szCs w:val="21"/>
              </w:rPr>
            </w:pPr>
            <w:r>
              <w:rPr>
                <w:rFonts w:hint="eastAsia" w:ascii="宋体" w:hAnsi="宋体" w:eastAsia="宋体" w:cs="宋体"/>
                <w:bCs/>
                <w:sz w:val="21"/>
                <w:szCs w:val="21"/>
              </w:rPr>
              <w:t>⑤</w:t>
            </w:r>
            <w:r>
              <w:rPr>
                <w:rFonts w:ascii="Times New Roman" w:eastAsia="宋体" w:cs="Times New Roman"/>
                <w:bCs/>
                <w:sz w:val="21"/>
                <w:szCs w:val="21"/>
              </w:rPr>
              <w:t>发布下节课任务单，并反思。</w:t>
            </w:r>
          </w:p>
          <w:p>
            <w:pPr>
              <w:pStyle w:val="48"/>
              <w:spacing w:line="288" w:lineRule="auto"/>
              <w:jc w:val="both"/>
              <w:rPr>
                <w:rFonts w:ascii="Times New Roman" w:eastAsia="宋体" w:cs="Times New Roman"/>
                <w:bCs/>
                <w:sz w:val="21"/>
                <w:szCs w:val="21"/>
              </w:rPr>
            </w:pPr>
            <w:r>
              <w:rPr>
                <w:rFonts w:ascii="Times New Roman" w:eastAsia="宋体" w:cs="Times New Roman"/>
                <w:bCs/>
                <w:sz w:val="21"/>
                <w:szCs w:val="21"/>
              </w:rPr>
              <w:t>2、学生任务</w:t>
            </w:r>
          </w:p>
          <w:p>
            <w:pPr>
              <w:pStyle w:val="48"/>
              <w:spacing w:line="288" w:lineRule="auto"/>
              <w:jc w:val="both"/>
              <w:rPr>
                <w:rFonts w:ascii="Times New Roman" w:eastAsia="宋体" w:cs="Times New Roman"/>
                <w:bCs/>
                <w:sz w:val="21"/>
                <w:szCs w:val="21"/>
              </w:rPr>
            </w:pPr>
            <w:r>
              <w:rPr>
                <w:rFonts w:hint="eastAsia" w:ascii="宋体" w:hAnsi="宋体" w:eastAsia="宋体" w:cs="宋体"/>
                <w:bCs/>
                <w:sz w:val="21"/>
                <w:szCs w:val="21"/>
              </w:rPr>
              <w:t>①</w:t>
            </w:r>
            <w:r>
              <w:rPr>
                <w:rFonts w:ascii="Times New Roman" w:eastAsia="宋体" w:cs="Times New Roman"/>
                <w:bCs/>
                <w:sz w:val="21"/>
                <w:szCs w:val="21"/>
              </w:rPr>
              <w:t>课前观看FIF平台视频与课件；</w:t>
            </w:r>
          </w:p>
          <w:p>
            <w:pPr>
              <w:pStyle w:val="48"/>
              <w:spacing w:line="288" w:lineRule="auto"/>
              <w:jc w:val="both"/>
              <w:rPr>
                <w:rFonts w:ascii="Times New Roman" w:eastAsia="宋体" w:cs="Times New Roman"/>
                <w:bCs/>
                <w:sz w:val="21"/>
                <w:szCs w:val="21"/>
              </w:rPr>
            </w:pPr>
            <w:r>
              <w:rPr>
                <w:rFonts w:hint="eastAsia" w:ascii="宋体" w:hAnsi="宋体" w:eastAsia="宋体" w:cs="宋体"/>
                <w:bCs/>
                <w:sz w:val="21"/>
                <w:szCs w:val="21"/>
              </w:rPr>
              <w:t>②</w:t>
            </w:r>
            <w:r>
              <w:rPr>
                <w:rFonts w:ascii="Times New Roman" w:eastAsia="宋体" w:cs="Times New Roman"/>
                <w:bCs/>
                <w:sz w:val="21"/>
                <w:szCs w:val="21"/>
              </w:rPr>
              <w:t>完成在线测试；</w:t>
            </w:r>
          </w:p>
          <w:p>
            <w:pPr>
              <w:pStyle w:val="48"/>
              <w:spacing w:line="288" w:lineRule="auto"/>
              <w:jc w:val="both"/>
              <w:rPr>
                <w:rFonts w:ascii="Times New Roman" w:eastAsia="宋体" w:cs="Times New Roman"/>
                <w:bCs/>
                <w:sz w:val="21"/>
                <w:szCs w:val="21"/>
              </w:rPr>
            </w:pPr>
            <w:r>
              <w:rPr>
                <w:rFonts w:hint="eastAsia" w:ascii="宋体" w:hAnsi="宋体" w:eastAsia="宋体" w:cs="宋体"/>
                <w:bCs/>
                <w:sz w:val="21"/>
                <w:szCs w:val="21"/>
              </w:rPr>
              <w:t>③</w:t>
            </w:r>
            <w:r>
              <w:rPr>
                <w:rFonts w:ascii="Times New Roman" w:eastAsia="宋体" w:cs="Times New Roman"/>
                <w:bCs/>
                <w:sz w:val="21"/>
                <w:szCs w:val="21"/>
              </w:rPr>
              <w:t>阅读文献：国际商事合同不可抗力条款对“新冠肺炎”疫情适用法律分析；论“一带一路”国际贸易争端仲裁机制——基于跨文化视角的探析；</w:t>
            </w:r>
          </w:p>
          <w:p>
            <w:pPr>
              <w:pStyle w:val="48"/>
              <w:spacing w:line="288" w:lineRule="auto"/>
              <w:jc w:val="both"/>
              <w:rPr>
                <w:rFonts w:ascii="Times New Roman" w:eastAsia="宋体" w:cs="Times New Roman"/>
                <w:bCs/>
                <w:sz w:val="21"/>
                <w:szCs w:val="21"/>
              </w:rPr>
            </w:pPr>
            <w:r>
              <w:rPr>
                <w:rFonts w:hint="eastAsia" w:ascii="宋体" w:hAnsi="宋体" w:eastAsia="宋体" w:cs="宋体"/>
                <w:bCs/>
                <w:sz w:val="21"/>
                <w:szCs w:val="21"/>
              </w:rPr>
              <w:t>④</w:t>
            </w:r>
            <w:r>
              <w:rPr>
                <w:rFonts w:ascii="Times New Roman" w:eastAsia="宋体" w:cs="Times New Roman"/>
                <w:bCs/>
                <w:sz w:val="21"/>
                <w:szCs w:val="21"/>
              </w:rPr>
              <w:t>思维导图总结，做好学习笔记；</w:t>
            </w:r>
          </w:p>
          <w:p>
            <w:pPr>
              <w:pStyle w:val="48"/>
              <w:spacing w:line="288" w:lineRule="auto"/>
              <w:jc w:val="both"/>
              <w:rPr>
                <w:rFonts w:ascii="Times New Roman" w:eastAsia="宋体" w:cs="Times New Roman"/>
                <w:bCs/>
                <w:snapToGrid w:val="0"/>
                <w:color w:val="auto"/>
                <w:kern w:val="2"/>
                <w:sz w:val="21"/>
                <w:szCs w:val="21"/>
              </w:rPr>
            </w:pPr>
            <w:r>
              <w:rPr>
                <w:rFonts w:hint="eastAsia" w:ascii="宋体" w:hAnsi="宋体" w:eastAsia="宋体" w:cs="宋体"/>
                <w:bCs/>
                <w:sz w:val="21"/>
                <w:szCs w:val="21"/>
              </w:rPr>
              <w:t>⑤</w:t>
            </w:r>
            <w:r>
              <w:rPr>
                <w:rFonts w:ascii="Times New Roman" w:eastAsia="宋体" w:cs="Times New Roman"/>
                <w:bCs/>
                <w:sz w:val="21"/>
                <w:szCs w:val="21"/>
              </w:rPr>
              <w:t>完成课后思考题。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28" w:type="dxa"/>
            <w:bottom w:w="28" w:type="dxa"/>
            <w:right w:w="28" w:type="dxa"/>
          </w:tblCellMar>
        </w:tblPrEx>
        <w:trPr>
          <w:trHeight w:val="20" w:hRule="atLeast"/>
          <w:jc w:val="center"/>
        </w:trPr>
        <w:tc>
          <w:tcPr>
            <w:tcW w:w="0" w:type="auto"/>
            <w:tcMar>
              <w:top w:w="57" w:type="dxa"/>
              <w:bottom w:w="57" w:type="dxa"/>
            </w:tcMar>
            <w:vAlign w:val="center"/>
          </w:tcPr>
          <w:p>
            <w:pPr>
              <w:spacing w:line="288" w:lineRule="auto"/>
              <w:jc w:val="center"/>
              <w:rPr>
                <w:rFonts w:ascii="Times New Roman" w:hAnsi="Times New Roman" w:eastAsia="宋体" w:cs="Times New Roman"/>
                <w:bCs/>
                <w:snapToGrid w:val="0"/>
                <w:szCs w:val="21"/>
              </w:rPr>
            </w:pPr>
            <w:r>
              <w:rPr>
                <w:rFonts w:ascii="Times New Roman" w:hAnsi="Times New Roman" w:eastAsia="宋体" w:cs="Times New Roman"/>
                <w:bCs/>
                <w:snapToGrid w:val="0"/>
                <w:szCs w:val="21"/>
              </w:rPr>
              <w:t>14</w:t>
            </w:r>
          </w:p>
        </w:tc>
        <w:tc>
          <w:tcPr>
            <w:tcW w:w="890" w:type="dxa"/>
            <w:vAlign w:val="center"/>
          </w:tcPr>
          <w:p>
            <w:pPr>
              <w:spacing w:line="288" w:lineRule="auto"/>
              <w:jc w:val="center"/>
              <w:rPr>
                <w:rFonts w:ascii="Times New Roman" w:hAnsi="Times New Roman" w:eastAsia="宋体" w:cs="Times New Roman"/>
                <w:bCs/>
                <w:snapToGrid w:val="0"/>
                <w:szCs w:val="21"/>
              </w:rPr>
            </w:pPr>
            <w:r>
              <w:rPr>
                <w:rFonts w:ascii="Times New Roman" w:hAnsi="Times New Roman" w:eastAsia="宋体" w:cs="Times New Roman"/>
                <w:bCs/>
                <w:snapToGrid w:val="0"/>
                <w:szCs w:val="21"/>
              </w:rPr>
              <w:t>第九章</w:t>
            </w:r>
          </w:p>
          <w:p>
            <w:pPr>
              <w:pStyle w:val="6"/>
              <w:spacing w:line="288" w:lineRule="auto"/>
              <w:ind w:firstLine="0" w:firstLineChars="0"/>
              <w:jc w:val="center"/>
              <w:rPr>
                <w:bCs/>
                <w:sz w:val="21"/>
                <w:szCs w:val="21"/>
              </w:rPr>
            </w:pPr>
            <w:r>
              <w:rPr>
                <w:bCs/>
                <w:snapToGrid w:val="0"/>
                <w:sz w:val="21"/>
                <w:szCs w:val="21"/>
              </w:rPr>
              <w:t>合同的签订与履行</w:t>
            </w:r>
          </w:p>
        </w:tc>
        <w:tc>
          <w:tcPr>
            <w:tcW w:w="3544" w:type="dxa"/>
            <w:tcMar>
              <w:top w:w="57" w:type="dxa"/>
              <w:bottom w:w="57" w:type="dxa"/>
            </w:tcMar>
            <w:vAlign w:val="center"/>
          </w:tcPr>
          <w:p>
            <w:pPr>
              <w:spacing w:line="288" w:lineRule="auto"/>
              <w:rPr>
                <w:rFonts w:ascii="Times New Roman" w:hAnsi="Times New Roman" w:eastAsia="宋体" w:cs="Times New Roman"/>
                <w:bCs/>
                <w:snapToGrid w:val="0"/>
                <w:szCs w:val="21"/>
              </w:rPr>
            </w:pPr>
            <w:r>
              <w:rPr>
                <w:rFonts w:ascii="Times New Roman" w:hAnsi="Times New Roman" w:eastAsia="宋体" w:cs="Times New Roman"/>
                <w:bCs/>
                <w:snapToGrid w:val="0"/>
                <w:szCs w:val="21"/>
              </w:rPr>
              <w:t>1、买卖合同磋商的基本过程</w:t>
            </w:r>
          </w:p>
          <w:p>
            <w:pPr>
              <w:spacing w:line="288" w:lineRule="auto"/>
              <w:rPr>
                <w:rFonts w:ascii="Times New Roman" w:hAnsi="Times New Roman" w:eastAsia="宋体" w:cs="Times New Roman"/>
                <w:bCs/>
                <w:snapToGrid w:val="0"/>
                <w:szCs w:val="21"/>
              </w:rPr>
            </w:pPr>
            <w:r>
              <w:rPr>
                <w:rFonts w:ascii="Times New Roman" w:hAnsi="Times New Roman" w:eastAsia="宋体" w:cs="Times New Roman"/>
                <w:bCs/>
                <w:snapToGrid w:val="0"/>
                <w:szCs w:val="21"/>
              </w:rPr>
              <w:t>2、国际贸易合同的签订</w:t>
            </w:r>
          </w:p>
          <w:p>
            <w:pPr>
              <w:spacing w:line="288" w:lineRule="auto"/>
              <w:rPr>
                <w:rFonts w:ascii="Times New Roman" w:hAnsi="Times New Roman" w:eastAsia="宋体" w:cs="Times New Roman"/>
                <w:bCs/>
                <w:snapToGrid w:val="0"/>
                <w:szCs w:val="21"/>
              </w:rPr>
            </w:pPr>
            <w:r>
              <w:rPr>
                <w:rFonts w:ascii="Times New Roman" w:hAnsi="Times New Roman" w:eastAsia="宋体" w:cs="Times New Roman"/>
                <w:bCs/>
                <w:snapToGrid w:val="0"/>
                <w:szCs w:val="21"/>
              </w:rPr>
              <w:t>3、合同的履行</w:t>
            </w:r>
          </w:p>
        </w:tc>
        <w:tc>
          <w:tcPr>
            <w:tcW w:w="5103" w:type="dxa"/>
            <w:tcMar>
              <w:top w:w="57" w:type="dxa"/>
              <w:bottom w:w="57" w:type="dxa"/>
            </w:tcMar>
            <w:vAlign w:val="center"/>
          </w:tcPr>
          <w:p>
            <w:pPr>
              <w:spacing w:line="288" w:lineRule="auto"/>
              <w:rPr>
                <w:rFonts w:ascii="Times New Roman" w:hAnsi="Times New Roman" w:eastAsia="宋体" w:cs="Times New Roman"/>
                <w:bCs/>
                <w:snapToGrid w:val="0"/>
                <w:szCs w:val="21"/>
              </w:rPr>
            </w:pPr>
            <w:r>
              <w:rPr>
                <w:rFonts w:ascii="Times New Roman" w:hAnsi="Times New Roman" w:eastAsia="宋体" w:cs="Times New Roman"/>
                <w:bCs/>
                <w:snapToGrid w:val="0"/>
                <w:szCs w:val="21"/>
              </w:rPr>
              <w:t>1、教学重点</w:t>
            </w:r>
          </w:p>
          <w:p>
            <w:pPr>
              <w:pStyle w:val="6"/>
              <w:spacing w:line="288" w:lineRule="auto"/>
              <w:ind w:firstLine="0" w:firstLineChars="0"/>
              <w:rPr>
                <w:bCs/>
                <w:sz w:val="21"/>
                <w:szCs w:val="21"/>
              </w:rPr>
            </w:pPr>
            <w:r>
              <w:rPr>
                <w:rFonts w:hint="eastAsia" w:ascii="宋体" w:hAnsi="宋体" w:cs="宋体"/>
                <w:bCs/>
                <w:sz w:val="21"/>
                <w:szCs w:val="21"/>
              </w:rPr>
              <w:t>①</w:t>
            </w:r>
            <w:r>
              <w:rPr>
                <w:bCs/>
                <w:sz w:val="21"/>
                <w:szCs w:val="21"/>
              </w:rPr>
              <w:t>构成发盘的必要条件、发盘失效情况；</w:t>
            </w:r>
          </w:p>
          <w:p>
            <w:pPr>
              <w:pStyle w:val="6"/>
              <w:spacing w:line="288" w:lineRule="auto"/>
              <w:ind w:firstLine="0" w:firstLineChars="0"/>
              <w:rPr>
                <w:bCs/>
                <w:sz w:val="21"/>
                <w:szCs w:val="21"/>
              </w:rPr>
            </w:pPr>
            <w:r>
              <w:rPr>
                <w:rFonts w:hint="eastAsia" w:ascii="宋体" w:hAnsi="宋体" w:cs="宋体"/>
                <w:bCs/>
                <w:sz w:val="21"/>
                <w:szCs w:val="21"/>
              </w:rPr>
              <w:t>②</w:t>
            </w:r>
            <w:r>
              <w:rPr>
                <w:bCs/>
                <w:sz w:val="21"/>
                <w:szCs w:val="21"/>
              </w:rPr>
              <w:t>合同条款主要内容；</w:t>
            </w:r>
          </w:p>
          <w:p>
            <w:pPr>
              <w:pStyle w:val="6"/>
              <w:spacing w:line="288" w:lineRule="auto"/>
              <w:ind w:firstLine="0" w:firstLineChars="0"/>
              <w:rPr>
                <w:bCs/>
                <w:sz w:val="21"/>
                <w:szCs w:val="21"/>
              </w:rPr>
            </w:pPr>
            <w:r>
              <w:rPr>
                <w:rFonts w:hint="eastAsia" w:ascii="宋体" w:hAnsi="宋体" w:cs="宋体"/>
                <w:bCs/>
                <w:sz w:val="21"/>
                <w:szCs w:val="21"/>
              </w:rPr>
              <w:t>③</w:t>
            </w:r>
            <w:r>
              <w:rPr>
                <w:bCs/>
                <w:sz w:val="21"/>
                <w:szCs w:val="21"/>
              </w:rPr>
              <w:t>合同生效的要件；</w:t>
            </w:r>
          </w:p>
          <w:p>
            <w:pPr>
              <w:pStyle w:val="6"/>
              <w:spacing w:line="288" w:lineRule="auto"/>
              <w:ind w:firstLine="0" w:firstLineChars="0"/>
              <w:rPr>
                <w:bCs/>
                <w:sz w:val="21"/>
                <w:szCs w:val="21"/>
              </w:rPr>
            </w:pPr>
            <w:r>
              <w:rPr>
                <w:rFonts w:hint="eastAsia" w:ascii="宋体" w:hAnsi="宋体" w:cs="宋体"/>
                <w:bCs/>
                <w:sz w:val="21"/>
                <w:szCs w:val="21"/>
              </w:rPr>
              <w:t>④</w:t>
            </w:r>
            <w:r>
              <w:rPr>
                <w:bCs/>
                <w:sz w:val="21"/>
                <w:szCs w:val="21"/>
              </w:rPr>
              <w:t>履行出口合同的基本程序。</w:t>
            </w:r>
          </w:p>
          <w:p>
            <w:pPr>
              <w:spacing w:line="288" w:lineRule="auto"/>
              <w:rPr>
                <w:rFonts w:ascii="Times New Roman" w:hAnsi="Times New Roman" w:eastAsia="宋体" w:cs="Times New Roman"/>
                <w:bCs/>
                <w:snapToGrid w:val="0"/>
                <w:szCs w:val="21"/>
              </w:rPr>
            </w:pPr>
            <w:r>
              <w:rPr>
                <w:rFonts w:ascii="Times New Roman" w:hAnsi="Times New Roman" w:eastAsia="宋体" w:cs="Times New Roman"/>
                <w:bCs/>
                <w:snapToGrid w:val="0"/>
                <w:szCs w:val="21"/>
              </w:rPr>
              <w:t>2、教学难点</w:t>
            </w:r>
          </w:p>
          <w:p>
            <w:pPr>
              <w:pStyle w:val="6"/>
              <w:spacing w:line="288" w:lineRule="auto"/>
              <w:ind w:firstLine="0" w:firstLineChars="0"/>
              <w:rPr>
                <w:bCs/>
                <w:sz w:val="21"/>
                <w:szCs w:val="21"/>
              </w:rPr>
            </w:pPr>
            <w:r>
              <w:rPr>
                <w:rFonts w:hint="eastAsia" w:ascii="宋体" w:hAnsi="宋体" w:cs="宋体"/>
                <w:bCs/>
                <w:sz w:val="21"/>
                <w:szCs w:val="21"/>
              </w:rPr>
              <w:t>①</w:t>
            </w:r>
            <w:r>
              <w:rPr>
                <w:bCs/>
                <w:sz w:val="21"/>
                <w:szCs w:val="21"/>
              </w:rPr>
              <w:t>明确逾期接受的处理方式；</w:t>
            </w:r>
          </w:p>
          <w:p>
            <w:pPr>
              <w:pStyle w:val="6"/>
              <w:spacing w:line="288" w:lineRule="auto"/>
              <w:ind w:firstLine="0" w:firstLineChars="0"/>
              <w:rPr>
                <w:bCs/>
                <w:sz w:val="21"/>
                <w:szCs w:val="21"/>
              </w:rPr>
            </w:pPr>
            <w:r>
              <w:rPr>
                <w:rFonts w:hint="eastAsia" w:ascii="宋体" w:hAnsi="宋体" w:cs="宋体"/>
                <w:bCs/>
                <w:sz w:val="21"/>
                <w:szCs w:val="21"/>
              </w:rPr>
              <w:t>②</w:t>
            </w:r>
            <w:r>
              <w:rPr>
                <w:bCs/>
                <w:sz w:val="21"/>
                <w:szCs w:val="21"/>
              </w:rPr>
              <w:t>明确实质性还盘与非实质性还盘的区别；</w:t>
            </w:r>
          </w:p>
          <w:p>
            <w:pPr>
              <w:pStyle w:val="6"/>
              <w:spacing w:line="288" w:lineRule="auto"/>
              <w:ind w:firstLine="0" w:firstLineChars="0"/>
              <w:rPr>
                <w:bCs/>
                <w:sz w:val="21"/>
                <w:szCs w:val="21"/>
              </w:rPr>
            </w:pPr>
            <w:r>
              <w:rPr>
                <w:rFonts w:hint="eastAsia" w:ascii="宋体" w:hAnsi="宋体" w:cs="宋体"/>
                <w:bCs/>
                <w:sz w:val="21"/>
                <w:szCs w:val="21"/>
              </w:rPr>
              <w:t>③</w:t>
            </w:r>
            <w:r>
              <w:rPr>
                <w:bCs/>
                <w:sz w:val="21"/>
                <w:szCs w:val="21"/>
              </w:rPr>
              <w:t>课程思政：诚实守信、契约意识、维护国家和企业利益。</w:t>
            </w:r>
          </w:p>
          <w:p>
            <w:pPr>
              <w:spacing w:line="288" w:lineRule="auto"/>
              <w:rPr>
                <w:rFonts w:ascii="Times New Roman" w:hAnsi="Times New Roman" w:eastAsia="宋体" w:cs="Times New Roman"/>
                <w:bCs/>
                <w:snapToGrid w:val="0"/>
                <w:szCs w:val="21"/>
              </w:rPr>
            </w:pPr>
            <w:r>
              <w:rPr>
                <w:rFonts w:ascii="Times New Roman" w:hAnsi="Times New Roman" w:eastAsia="宋体" w:cs="Times New Roman"/>
                <w:bCs/>
                <w:snapToGrid w:val="0"/>
                <w:szCs w:val="21"/>
              </w:rPr>
              <w:t>3、教学方法：线上资源平台、</w:t>
            </w:r>
            <w:r>
              <w:rPr>
                <w:rFonts w:ascii="Times New Roman" w:hAnsi="Times New Roman" w:eastAsia="宋体" w:cs="Times New Roman"/>
                <w:bCs/>
                <w:kern w:val="0"/>
                <w:szCs w:val="21"/>
              </w:rPr>
              <w:t>讲授、交流讨论、案例分析、多媒体演示、板书。</w:t>
            </w:r>
          </w:p>
        </w:tc>
        <w:tc>
          <w:tcPr>
            <w:tcW w:w="3864" w:type="dxa"/>
            <w:tcMar>
              <w:top w:w="57" w:type="dxa"/>
              <w:bottom w:w="57" w:type="dxa"/>
            </w:tcMar>
            <w:vAlign w:val="center"/>
          </w:tcPr>
          <w:p>
            <w:pPr>
              <w:pStyle w:val="48"/>
              <w:spacing w:line="288" w:lineRule="auto"/>
              <w:jc w:val="both"/>
              <w:rPr>
                <w:rFonts w:ascii="Times New Roman" w:eastAsia="宋体" w:cs="Times New Roman"/>
                <w:bCs/>
                <w:sz w:val="21"/>
                <w:szCs w:val="21"/>
              </w:rPr>
            </w:pPr>
            <w:r>
              <w:rPr>
                <w:rFonts w:ascii="Times New Roman" w:eastAsia="宋体" w:cs="Times New Roman"/>
                <w:bCs/>
                <w:sz w:val="21"/>
                <w:szCs w:val="21"/>
              </w:rPr>
              <w:t>1、教师任务</w:t>
            </w:r>
          </w:p>
          <w:p>
            <w:pPr>
              <w:pStyle w:val="48"/>
              <w:spacing w:line="288" w:lineRule="auto"/>
              <w:jc w:val="both"/>
              <w:rPr>
                <w:rFonts w:ascii="Times New Roman" w:eastAsia="宋体" w:cs="Times New Roman"/>
                <w:bCs/>
                <w:sz w:val="21"/>
                <w:szCs w:val="21"/>
              </w:rPr>
            </w:pPr>
            <w:r>
              <w:rPr>
                <w:rFonts w:hint="eastAsia" w:ascii="宋体" w:hAnsi="宋体" w:eastAsia="宋体" w:cs="宋体"/>
                <w:bCs/>
                <w:sz w:val="21"/>
                <w:szCs w:val="21"/>
              </w:rPr>
              <w:t>①</w:t>
            </w:r>
            <w:r>
              <w:rPr>
                <w:rFonts w:ascii="Times New Roman" w:eastAsia="宋体" w:cs="Times New Roman"/>
                <w:bCs/>
                <w:sz w:val="21"/>
                <w:szCs w:val="21"/>
              </w:rPr>
              <w:t>课前发布视频和测试任务；</w:t>
            </w:r>
          </w:p>
          <w:p>
            <w:pPr>
              <w:pStyle w:val="48"/>
              <w:spacing w:line="288" w:lineRule="auto"/>
              <w:jc w:val="both"/>
              <w:rPr>
                <w:rFonts w:ascii="Times New Roman" w:eastAsia="宋体" w:cs="Times New Roman"/>
                <w:bCs/>
                <w:sz w:val="21"/>
                <w:szCs w:val="21"/>
              </w:rPr>
            </w:pPr>
            <w:r>
              <w:rPr>
                <w:rFonts w:hint="eastAsia" w:ascii="宋体" w:hAnsi="宋体" w:eastAsia="宋体" w:cs="宋体"/>
                <w:bCs/>
                <w:sz w:val="21"/>
                <w:szCs w:val="21"/>
              </w:rPr>
              <w:t>②</w:t>
            </w:r>
            <w:r>
              <w:rPr>
                <w:rFonts w:ascii="Times New Roman" w:eastAsia="宋体" w:cs="Times New Roman"/>
                <w:bCs/>
                <w:sz w:val="21"/>
                <w:szCs w:val="21"/>
              </w:rPr>
              <w:t>介绍本章节学习目标；</w:t>
            </w:r>
          </w:p>
          <w:p>
            <w:pPr>
              <w:pStyle w:val="48"/>
              <w:spacing w:line="288" w:lineRule="auto"/>
              <w:jc w:val="both"/>
              <w:rPr>
                <w:rFonts w:ascii="Times New Roman" w:eastAsia="宋体" w:cs="Times New Roman"/>
                <w:bCs/>
                <w:sz w:val="21"/>
                <w:szCs w:val="21"/>
              </w:rPr>
            </w:pPr>
            <w:r>
              <w:rPr>
                <w:rFonts w:hint="eastAsia" w:ascii="宋体" w:hAnsi="宋体" w:eastAsia="宋体" w:cs="宋体"/>
                <w:bCs/>
                <w:sz w:val="21"/>
                <w:szCs w:val="21"/>
              </w:rPr>
              <w:t>③</w:t>
            </w:r>
            <w:r>
              <w:rPr>
                <w:rFonts w:ascii="Times New Roman" w:eastAsia="宋体" w:cs="Times New Roman"/>
                <w:bCs/>
                <w:sz w:val="21"/>
                <w:szCs w:val="21"/>
              </w:rPr>
              <w:t>讲解合同签订与履行知识，辅以案例分析；</w:t>
            </w:r>
          </w:p>
          <w:p>
            <w:pPr>
              <w:pStyle w:val="48"/>
              <w:spacing w:line="288" w:lineRule="auto"/>
              <w:jc w:val="both"/>
              <w:rPr>
                <w:rFonts w:ascii="Times New Roman" w:eastAsia="宋体" w:cs="Times New Roman"/>
                <w:bCs/>
                <w:sz w:val="21"/>
                <w:szCs w:val="21"/>
              </w:rPr>
            </w:pPr>
            <w:r>
              <w:rPr>
                <w:rFonts w:hint="eastAsia" w:ascii="宋体" w:hAnsi="宋体" w:eastAsia="宋体" w:cs="宋体"/>
                <w:bCs/>
                <w:sz w:val="21"/>
                <w:szCs w:val="21"/>
              </w:rPr>
              <w:t>④</w:t>
            </w:r>
            <w:r>
              <w:rPr>
                <w:rFonts w:ascii="Times New Roman" w:eastAsia="宋体" w:cs="Times New Roman"/>
                <w:bCs/>
                <w:sz w:val="21"/>
                <w:szCs w:val="21"/>
              </w:rPr>
              <w:t>布置情境项目3和4任务。</w:t>
            </w:r>
          </w:p>
          <w:p>
            <w:pPr>
              <w:pStyle w:val="48"/>
              <w:spacing w:line="288" w:lineRule="auto"/>
              <w:jc w:val="both"/>
              <w:rPr>
                <w:rFonts w:ascii="Times New Roman" w:eastAsia="宋体" w:cs="Times New Roman"/>
                <w:bCs/>
                <w:sz w:val="21"/>
                <w:szCs w:val="21"/>
              </w:rPr>
            </w:pPr>
            <w:r>
              <w:rPr>
                <w:rFonts w:ascii="Times New Roman" w:eastAsia="宋体" w:cs="Times New Roman"/>
                <w:bCs/>
                <w:sz w:val="21"/>
                <w:szCs w:val="21"/>
              </w:rPr>
              <w:t>2、学生任务</w:t>
            </w:r>
          </w:p>
          <w:p>
            <w:pPr>
              <w:pStyle w:val="48"/>
              <w:spacing w:line="288" w:lineRule="auto"/>
              <w:jc w:val="both"/>
              <w:rPr>
                <w:rFonts w:ascii="Times New Roman" w:eastAsia="宋体" w:cs="Times New Roman"/>
                <w:bCs/>
                <w:sz w:val="21"/>
                <w:szCs w:val="21"/>
              </w:rPr>
            </w:pPr>
            <w:r>
              <w:rPr>
                <w:rFonts w:hint="eastAsia" w:ascii="宋体" w:hAnsi="宋体" w:eastAsia="宋体" w:cs="宋体"/>
                <w:bCs/>
                <w:sz w:val="21"/>
                <w:szCs w:val="21"/>
              </w:rPr>
              <w:t>①</w:t>
            </w:r>
            <w:r>
              <w:rPr>
                <w:rFonts w:ascii="Times New Roman" w:eastAsia="宋体" w:cs="Times New Roman"/>
                <w:bCs/>
                <w:sz w:val="21"/>
                <w:szCs w:val="21"/>
              </w:rPr>
              <w:t>课前观看FIF平台视频与课件；</w:t>
            </w:r>
          </w:p>
          <w:p>
            <w:pPr>
              <w:pStyle w:val="48"/>
              <w:spacing w:line="288" w:lineRule="auto"/>
              <w:jc w:val="both"/>
              <w:rPr>
                <w:rFonts w:ascii="Times New Roman" w:eastAsia="宋体" w:cs="Times New Roman"/>
                <w:bCs/>
                <w:sz w:val="21"/>
                <w:szCs w:val="21"/>
              </w:rPr>
            </w:pPr>
            <w:r>
              <w:rPr>
                <w:rFonts w:hint="eastAsia" w:ascii="宋体" w:hAnsi="宋体" w:eastAsia="宋体" w:cs="宋体"/>
                <w:bCs/>
                <w:sz w:val="21"/>
                <w:szCs w:val="21"/>
              </w:rPr>
              <w:t>②</w:t>
            </w:r>
            <w:r>
              <w:rPr>
                <w:rFonts w:ascii="Times New Roman" w:eastAsia="宋体" w:cs="Times New Roman"/>
                <w:bCs/>
                <w:sz w:val="21"/>
                <w:szCs w:val="21"/>
              </w:rPr>
              <w:t>完成在线测试；</w:t>
            </w:r>
          </w:p>
          <w:p>
            <w:pPr>
              <w:pStyle w:val="48"/>
              <w:spacing w:line="288" w:lineRule="auto"/>
              <w:jc w:val="both"/>
              <w:rPr>
                <w:rFonts w:ascii="Times New Roman" w:eastAsia="宋体" w:cs="Times New Roman"/>
                <w:bCs/>
                <w:snapToGrid w:val="0"/>
                <w:color w:val="auto"/>
                <w:kern w:val="2"/>
                <w:sz w:val="21"/>
                <w:szCs w:val="21"/>
              </w:rPr>
            </w:pPr>
            <w:r>
              <w:rPr>
                <w:rFonts w:hint="eastAsia" w:ascii="宋体" w:hAnsi="宋体" w:eastAsia="宋体" w:cs="宋体"/>
                <w:bCs/>
                <w:sz w:val="21"/>
                <w:szCs w:val="21"/>
              </w:rPr>
              <w:t>③</w:t>
            </w:r>
            <w:r>
              <w:rPr>
                <w:rFonts w:ascii="Times New Roman" w:eastAsia="宋体" w:cs="Times New Roman"/>
                <w:bCs/>
                <w:sz w:val="21"/>
                <w:szCs w:val="21"/>
              </w:rPr>
              <w:t>思维导图方式对整个课程内容做总结，做好学习笔记。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28" w:type="dxa"/>
            <w:bottom w:w="28" w:type="dxa"/>
            <w:right w:w="28" w:type="dxa"/>
          </w:tblCellMar>
        </w:tblPrEx>
        <w:trPr>
          <w:trHeight w:val="20" w:hRule="atLeast"/>
          <w:jc w:val="center"/>
        </w:trPr>
        <w:tc>
          <w:tcPr>
            <w:tcW w:w="0" w:type="auto"/>
            <w:tcMar>
              <w:top w:w="57" w:type="dxa"/>
              <w:bottom w:w="57" w:type="dxa"/>
            </w:tcMar>
            <w:vAlign w:val="center"/>
          </w:tcPr>
          <w:p>
            <w:pPr>
              <w:spacing w:line="288" w:lineRule="auto"/>
              <w:jc w:val="center"/>
              <w:rPr>
                <w:rFonts w:ascii="Times New Roman" w:hAnsi="Times New Roman" w:eastAsia="宋体" w:cs="Times New Roman"/>
                <w:bCs/>
                <w:snapToGrid w:val="0"/>
                <w:szCs w:val="21"/>
              </w:rPr>
            </w:pPr>
            <w:r>
              <w:rPr>
                <w:rFonts w:ascii="Times New Roman" w:hAnsi="Times New Roman" w:eastAsia="宋体" w:cs="Times New Roman"/>
                <w:bCs/>
                <w:snapToGrid w:val="0"/>
                <w:szCs w:val="21"/>
              </w:rPr>
              <w:t>15</w:t>
            </w:r>
          </w:p>
        </w:tc>
        <w:tc>
          <w:tcPr>
            <w:tcW w:w="890" w:type="dxa"/>
            <w:vAlign w:val="center"/>
          </w:tcPr>
          <w:p>
            <w:pPr>
              <w:spacing w:line="288" w:lineRule="auto"/>
              <w:jc w:val="center"/>
              <w:rPr>
                <w:rFonts w:ascii="Times New Roman" w:hAnsi="Times New Roman" w:eastAsia="宋体" w:cs="Times New Roman"/>
                <w:bCs/>
                <w:snapToGrid w:val="0"/>
                <w:szCs w:val="21"/>
              </w:rPr>
            </w:pPr>
            <w:r>
              <w:rPr>
                <w:rFonts w:ascii="Times New Roman" w:hAnsi="Times New Roman" w:eastAsia="宋体" w:cs="Times New Roman"/>
                <w:bCs/>
                <w:snapToGrid w:val="0"/>
                <w:szCs w:val="21"/>
              </w:rPr>
              <w:t>实验七</w:t>
            </w:r>
          </w:p>
        </w:tc>
        <w:tc>
          <w:tcPr>
            <w:tcW w:w="3544" w:type="dxa"/>
            <w:tcMar>
              <w:top w:w="57" w:type="dxa"/>
              <w:bottom w:w="57" w:type="dxa"/>
            </w:tcMar>
            <w:vAlign w:val="center"/>
          </w:tcPr>
          <w:p>
            <w:pPr>
              <w:spacing w:line="288" w:lineRule="auto"/>
              <w:rPr>
                <w:rFonts w:ascii="Times New Roman" w:hAnsi="Times New Roman" w:eastAsia="宋体" w:cs="Times New Roman"/>
                <w:bCs/>
                <w:snapToGrid w:val="0"/>
                <w:szCs w:val="21"/>
              </w:rPr>
            </w:pPr>
            <w:r>
              <w:rPr>
                <w:rFonts w:ascii="Times New Roman" w:hAnsi="Times New Roman" w:eastAsia="宋体" w:cs="Times New Roman"/>
                <w:bCs/>
                <w:snapToGrid w:val="0"/>
                <w:szCs w:val="21"/>
              </w:rPr>
              <w:t>1、出口合同的签订</w:t>
            </w:r>
          </w:p>
          <w:p>
            <w:pPr>
              <w:spacing w:line="288" w:lineRule="auto"/>
              <w:rPr>
                <w:rFonts w:ascii="Times New Roman" w:hAnsi="Times New Roman" w:eastAsia="宋体" w:cs="Times New Roman"/>
                <w:bCs/>
                <w:snapToGrid w:val="0"/>
                <w:szCs w:val="21"/>
              </w:rPr>
            </w:pPr>
            <w:r>
              <w:rPr>
                <w:rFonts w:ascii="Times New Roman" w:hAnsi="Times New Roman" w:eastAsia="宋体" w:cs="Times New Roman"/>
                <w:bCs/>
                <w:snapToGrid w:val="0"/>
                <w:szCs w:val="21"/>
              </w:rPr>
              <w:t>2、情境项目3：合同履行</w:t>
            </w:r>
          </w:p>
          <w:p>
            <w:pPr>
              <w:spacing w:line="288" w:lineRule="auto"/>
              <w:rPr>
                <w:rFonts w:ascii="Times New Roman" w:hAnsi="Times New Roman" w:cs="Times New Roman"/>
                <w:bCs/>
                <w:szCs w:val="21"/>
              </w:rPr>
            </w:pPr>
            <w:r>
              <w:rPr>
                <w:rFonts w:ascii="Times New Roman" w:hAnsi="Times New Roman" w:eastAsia="宋体" w:cs="Times New Roman"/>
                <w:bCs/>
                <w:snapToGrid w:val="0"/>
                <w:szCs w:val="21"/>
              </w:rPr>
              <w:t>3、情境项目4：业务善后与争议解决</w:t>
            </w:r>
          </w:p>
        </w:tc>
        <w:tc>
          <w:tcPr>
            <w:tcW w:w="5103" w:type="dxa"/>
            <w:tcMar>
              <w:top w:w="57" w:type="dxa"/>
              <w:bottom w:w="57" w:type="dxa"/>
            </w:tcMar>
            <w:vAlign w:val="center"/>
          </w:tcPr>
          <w:p>
            <w:pPr>
              <w:spacing w:line="288" w:lineRule="auto"/>
              <w:rPr>
                <w:rFonts w:ascii="Times New Roman" w:hAnsi="Times New Roman" w:eastAsia="宋体" w:cs="Times New Roman"/>
                <w:bCs/>
                <w:snapToGrid w:val="0"/>
                <w:szCs w:val="21"/>
              </w:rPr>
            </w:pPr>
            <w:r>
              <w:rPr>
                <w:rFonts w:ascii="Times New Roman" w:hAnsi="Times New Roman" w:eastAsia="宋体" w:cs="Times New Roman"/>
                <w:bCs/>
                <w:snapToGrid w:val="0"/>
                <w:szCs w:val="21"/>
              </w:rPr>
              <w:t>1、教学重点</w:t>
            </w:r>
          </w:p>
          <w:p>
            <w:pPr>
              <w:pStyle w:val="6"/>
              <w:spacing w:line="288" w:lineRule="auto"/>
              <w:ind w:firstLine="0" w:firstLineChars="0"/>
              <w:rPr>
                <w:bCs/>
                <w:sz w:val="21"/>
                <w:szCs w:val="21"/>
              </w:rPr>
            </w:pPr>
            <w:r>
              <w:rPr>
                <w:rFonts w:hint="eastAsia" w:ascii="宋体" w:hAnsi="宋体" w:cs="宋体"/>
                <w:bCs/>
                <w:sz w:val="21"/>
                <w:szCs w:val="21"/>
              </w:rPr>
              <w:t>①</w:t>
            </w:r>
            <w:r>
              <w:rPr>
                <w:bCs/>
                <w:sz w:val="21"/>
                <w:szCs w:val="21"/>
              </w:rPr>
              <w:t>明确合同书面形式的重要意义；</w:t>
            </w:r>
          </w:p>
          <w:p>
            <w:pPr>
              <w:pStyle w:val="6"/>
              <w:spacing w:line="288" w:lineRule="auto"/>
              <w:ind w:firstLine="0" w:firstLineChars="0"/>
              <w:rPr>
                <w:bCs/>
                <w:sz w:val="21"/>
                <w:szCs w:val="21"/>
              </w:rPr>
            </w:pPr>
            <w:r>
              <w:rPr>
                <w:rFonts w:hint="eastAsia" w:ascii="宋体" w:hAnsi="宋体" w:cs="宋体"/>
                <w:bCs/>
                <w:sz w:val="21"/>
                <w:szCs w:val="21"/>
              </w:rPr>
              <w:t>②</w:t>
            </w:r>
            <w:r>
              <w:rPr>
                <w:bCs/>
                <w:sz w:val="21"/>
                <w:szCs w:val="21"/>
              </w:rPr>
              <w:t>明确合同订立与生效的区别；</w:t>
            </w:r>
          </w:p>
          <w:p>
            <w:pPr>
              <w:pStyle w:val="6"/>
              <w:spacing w:line="288" w:lineRule="auto"/>
              <w:ind w:firstLine="0" w:firstLineChars="0"/>
              <w:rPr>
                <w:bCs/>
                <w:sz w:val="21"/>
                <w:szCs w:val="21"/>
              </w:rPr>
            </w:pPr>
            <w:r>
              <w:rPr>
                <w:rFonts w:hint="eastAsia" w:ascii="宋体" w:hAnsi="宋体" w:cs="宋体"/>
                <w:bCs/>
                <w:sz w:val="21"/>
                <w:szCs w:val="21"/>
              </w:rPr>
              <w:t>③</w:t>
            </w:r>
            <w:r>
              <w:rPr>
                <w:bCs/>
                <w:sz w:val="21"/>
                <w:szCs w:val="21"/>
              </w:rPr>
              <w:t>FOB+L/C形式下进口合同的履行过程；</w:t>
            </w:r>
          </w:p>
          <w:p>
            <w:pPr>
              <w:pStyle w:val="6"/>
              <w:spacing w:line="288" w:lineRule="auto"/>
              <w:ind w:firstLine="0" w:firstLineChars="0"/>
              <w:rPr>
                <w:bCs/>
                <w:sz w:val="21"/>
                <w:szCs w:val="21"/>
              </w:rPr>
            </w:pPr>
            <w:r>
              <w:rPr>
                <w:rFonts w:hint="eastAsia" w:ascii="宋体" w:hAnsi="宋体" w:cs="宋体"/>
                <w:bCs/>
                <w:sz w:val="21"/>
                <w:szCs w:val="21"/>
              </w:rPr>
              <w:t>④</w:t>
            </w:r>
            <w:r>
              <w:rPr>
                <w:bCs/>
                <w:sz w:val="21"/>
                <w:szCs w:val="21"/>
              </w:rPr>
              <w:t>CIF+L/C形式下出口合同的履行过程。</w:t>
            </w:r>
          </w:p>
          <w:p>
            <w:pPr>
              <w:spacing w:line="288" w:lineRule="auto"/>
              <w:rPr>
                <w:rFonts w:ascii="Times New Roman" w:hAnsi="Times New Roman" w:eastAsia="宋体" w:cs="Times New Roman"/>
                <w:bCs/>
                <w:snapToGrid w:val="0"/>
                <w:szCs w:val="21"/>
              </w:rPr>
            </w:pPr>
            <w:r>
              <w:rPr>
                <w:rFonts w:ascii="Times New Roman" w:hAnsi="Times New Roman" w:eastAsia="宋体" w:cs="Times New Roman"/>
                <w:bCs/>
                <w:snapToGrid w:val="0"/>
                <w:szCs w:val="21"/>
              </w:rPr>
              <w:t>2、教学难点</w:t>
            </w:r>
          </w:p>
          <w:p>
            <w:pPr>
              <w:pStyle w:val="6"/>
              <w:spacing w:line="288" w:lineRule="auto"/>
              <w:ind w:firstLine="0" w:firstLineChars="0"/>
              <w:rPr>
                <w:bCs/>
                <w:sz w:val="21"/>
                <w:szCs w:val="21"/>
              </w:rPr>
            </w:pPr>
            <w:r>
              <w:rPr>
                <w:rFonts w:hint="eastAsia" w:ascii="宋体" w:hAnsi="宋体" w:cs="宋体"/>
                <w:bCs/>
                <w:sz w:val="21"/>
                <w:szCs w:val="21"/>
              </w:rPr>
              <w:t>①</w:t>
            </w:r>
            <w:r>
              <w:rPr>
                <w:bCs/>
                <w:sz w:val="21"/>
                <w:szCs w:val="21"/>
              </w:rPr>
              <w:t>进出口合同的履行可能涉及到的当事人；</w:t>
            </w:r>
          </w:p>
          <w:p>
            <w:pPr>
              <w:pStyle w:val="6"/>
              <w:spacing w:line="288" w:lineRule="auto"/>
              <w:ind w:firstLine="0" w:firstLineChars="0"/>
              <w:rPr>
                <w:bCs/>
                <w:sz w:val="21"/>
                <w:szCs w:val="21"/>
              </w:rPr>
            </w:pPr>
            <w:r>
              <w:rPr>
                <w:rFonts w:hint="eastAsia" w:ascii="宋体" w:hAnsi="宋体" w:cs="宋体"/>
                <w:bCs/>
                <w:sz w:val="21"/>
                <w:szCs w:val="21"/>
              </w:rPr>
              <w:t>②</w:t>
            </w:r>
            <w:r>
              <w:rPr>
                <w:bCs/>
                <w:sz w:val="21"/>
                <w:szCs w:val="21"/>
              </w:rPr>
              <w:t>合同主要条款签订时的注意事项；</w:t>
            </w:r>
          </w:p>
          <w:p>
            <w:pPr>
              <w:pStyle w:val="6"/>
              <w:spacing w:line="288" w:lineRule="auto"/>
              <w:ind w:firstLine="0" w:firstLineChars="0"/>
              <w:rPr>
                <w:bCs/>
                <w:sz w:val="21"/>
                <w:szCs w:val="21"/>
              </w:rPr>
            </w:pPr>
            <w:r>
              <w:rPr>
                <w:rFonts w:hint="eastAsia" w:ascii="宋体" w:hAnsi="宋体" w:cs="宋体"/>
                <w:bCs/>
                <w:sz w:val="21"/>
                <w:szCs w:val="21"/>
              </w:rPr>
              <w:t>③</w:t>
            </w:r>
            <w:r>
              <w:rPr>
                <w:bCs/>
                <w:sz w:val="21"/>
                <w:szCs w:val="21"/>
              </w:rPr>
              <w:t>明确合同履行中各环节衔接与单据制作；</w:t>
            </w:r>
          </w:p>
          <w:p>
            <w:pPr>
              <w:pStyle w:val="6"/>
              <w:spacing w:line="288" w:lineRule="auto"/>
              <w:ind w:firstLine="0" w:firstLineChars="0"/>
              <w:rPr>
                <w:bCs/>
                <w:sz w:val="21"/>
                <w:szCs w:val="21"/>
              </w:rPr>
            </w:pPr>
            <w:r>
              <w:rPr>
                <w:rFonts w:hint="eastAsia" w:ascii="宋体" w:hAnsi="宋体" w:cs="宋体"/>
                <w:bCs/>
                <w:sz w:val="21"/>
                <w:szCs w:val="21"/>
              </w:rPr>
              <w:t>④</w:t>
            </w:r>
            <w:r>
              <w:rPr>
                <w:bCs/>
                <w:sz w:val="21"/>
                <w:szCs w:val="21"/>
              </w:rPr>
              <w:t>制作并审核结汇单据的基本原则；</w:t>
            </w:r>
          </w:p>
          <w:p>
            <w:pPr>
              <w:pStyle w:val="6"/>
              <w:spacing w:line="288" w:lineRule="auto"/>
              <w:ind w:firstLine="0" w:firstLineChars="0"/>
              <w:rPr>
                <w:bCs/>
                <w:sz w:val="21"/>
                <w:szCs w:val="21"/>
              </w:rPr>
            </w:pPr>
            <w:r>
              <w:rPr>
                <w:rFonts w:hint="eastAsia" w:ascii="宋体" w:hAnsi="宋体" w:cs="宋体"/>
                <w:bCs/>
                <w:sz w:val="21"/>
                <w:szCs w:val="21"/>
              </w:rPr>
              <w:t>⑤</w:t>
            </w:r>
            <w:r>
              <w:rPr>
                <w:bCs/>
                <w:sz w:val="21"/>
                <w:szCs w:val="21"/>
              </w:rPr>
              <w:t>课程思政：抗压、耐挫能力，避免畏难情绪等。</w:t>
            </w:r>
          </w:p>
          <w:p>
            <w:pPr>
              <w:spacing w:line="288" w:lineRule="auto"/>
              <w:rPr>
                <w:rFonts w:ascii="Times New Roman" w:hAnsi="Times New Roman" w:eastAsia="宋体" w:cs="Times New Roman"/>
                <w:bCs/>
                <w:snapToGrid w:val="0"/>
                <w:szCs w:val="21"/>
              </w:rPr>
            </w:pPr>
            <w:r>
              <w:rPr>
                <w:rFonts w:ascii="Times New Roman" w:hAnsi="Times New Roman" w:eastAsia="宋体" w:cs="Times New Roman"/>
                <w:bCs/>
                <w:snapToGrid w:val="0"/>
                <w:szCs w:val="21"/>
              </w:rPr>
              <w:t>3、教学方法：</w:t>
            </w:r>
            <w:r>
              <w:rPr>
                <w:rFonts w:ascii="Times New Roman" w:hAnsi="Times New Roman" w:eastAsia="宋体" w:cs="Times New Roman"/>
                <w:bCs/>
                <w:kern w:val="0"/>
                <w:szCs w:val="21"/>
              </w:rPr>
              <w:t>讲授、实验、角色扮演、多媒体演示。</w:t>
            </w:r>
          </w:p>
        </w:tc>
        <w:tc>
          <w:tcPr>
            <w:tcW w:w="3864" w:type="dxa"/>
            <w:tcMar>
              <w:top w:w="57" w:type="dxa"/>
              <w:bottom w:w="57" w:type="dxa"/>
            </w:tcMar>
            <w:vAlign w:val="center"/>
          </w:tcPr>
          <w:p>
            <w:pPr>
              <w:pStyle w:val="48"/>
              <w:spacing w:line="288" w:lineRule="auto"/>
              <w:jc w:val="both"/>
              <w:rPr>
                <w:rFonts w:ascii="Times New Roman" w:eastAsia="宋体" w:cs="Times New Roman"/>
                <w:bCs/>
                <w:sz w:val="21"/>
                <w:szCs w:val="21"/>
              </w:rPr>
            </w:pPr>
            <w:r>
              <w:rPr>
                <w:rFonts w:ascii="Times New Roman" w:eastAsia="宋体" w:cs="Times New Roman"/>
                <w:bCs/>
                <w:sz w:val="21"/>
                <w:szCs w:val="21"/>
              </w:rPr>
              <w:t>1、教师任务</w:t>
            </w:r>
          </w:p>
          <w:p>
            <w:pPr>
              <w:pStyle w:val="48"/>
              <w:spacing w:line="288" w:lineRule="auto"/>
              <w:jc w:val="both"/>
              <w:rPr>
                <w:rFonts w:ascii="Times New Roman" w:eastAsia="宋体" w:cs="Times New Roman"/>
                <w:bCs/>
                <w:sz w:val="21"/>
                <w:szCs w:val="21"/>
              </w:rPr>
            </w:pPr>
            <w:r>
              <w:rPr>
                <w:rFonts w:hint="eastAsia" w:ascii="宋体" w:hAnsi="宋体" w:eastAsia="宋体" w:cs="宋体"/>
                <w:bCs/>
                <w:sz w:val="21"/>
                <w:szCs w:val="21"/>
              </w:rPr>
              <w:t>①</w:t>
            </w:r>
            <w:r>
              <w:rPr>
                <w:rFonts w:ascii="Times New Roman" w:eastAsia="宋体" w:cs="Times New Roman"/>
                <w:bCs/>
                <w:sz w:val="21"/>
                <w:szCs w:val="21"/>
              </w:rPr>
              <w:t>介绍实验安排与实验目的；</w:t>
            </w:r>
          </w:p>
          <w:p>
            <w:pPr>
              <w:pStyle w:val="48"/>
              <w:spacing w:line="288" w:lineRule="auto"/>
              <w:jc w:val="both"/>
              <w:rPr>
                <w:rFonts w:ascii="Times New Roman" w:eastAsia="宋体" w:cs="Times New Roman"/>
                <w:bCs/>
                <w:sz w:val="21"/>
                <w:szCs w:val="21"/>
              </w:rPr>
            </w:pPr>
            <w:r>
              <w:rPr>
                <w:rFonts w:hint="eastAsia" w:ascii="宋体" w:hAnsi="宋体" w:eastAsia="宋体" w:cs="宋体"/>
                <w:bCs/>
                <w:sz w:val="21"/>
                <w:szCs w:val="21"/>
              </w:rPr>
              <w:t>②</w:t>
            </w:r>
            <w:r>
              <w:rPr>
                <w:rFonts w:ascii="Times New Roman" w:eastAsia="宋体" w:cs="Times New Roman"/>
                <w:bCs/>
                <w:sz w:val="21"/>
                <w:szCs w:val="21"/>
              </w:rPr>
              <w:t>组织学生对前几个实验情境磋商结果进行分组汇报；</w:t>
            </w:r>
          </w:p>
          <w:p>
            <w:pPr>
              <w:pStyle w:val="48"/>
              <w:spacing w:line="288" w:lineRule="auto"/>
              <w:jc w:val="both"/>
              <w:rPr>
                <w:rFonts w:ascii="Times New Roman" w:eastAsia="宋体" w:cs="Times New Roman"/>
                <w:bCs/>
                <w:sz w:val="21"/>
                <w:szCs w:val="21"/>
              </w:rPr>
            </w:pPr>
            <w:r>
              <w:rPr>
                <w:rFonts w:hint="eastAsia" w:ascii="宋体" w:hAnsi="宋体" w:eastAsia="宋体" w:cs="宋体"/>
                <w:bCs/>
                <w:sz w:val="21"/>
                <w:szCs w:val="21"/>
              </w:rPr>
              <w:t>③</w:t>
            </w:r>
            <w:r>
              <w:rPr>
                <w:rFonts w:ascii="Times New Roman" w:eastAsia="宋体" w:cs="Times New Roman"/>
                <w:bCs/>
                <w:sz w:val="21"/>
                <w:szCs w:val="21"/>
              </w:rPr>
              <w:t>发布该课程教学调查问卷，并做好教学反思。</w:t>
            </w:r>
          </w:p>
          <w:p>
            <w:pPr>
              <w:pStyle w:val="48"/>
              <w:spacing w:line="288" w:lineRule="auto"/>
              <w:jc w:val="both"/>
              <w:rPr>
                <w:rFonts w:ascii="Times New Roman" w:eastAsia="宋体" w:cs="Times New Roman"/>
                <w:bCs/>
                <w:sz w:val="21"/>
                <w:szCs w:val="21"/>
              </w:rPr>
            </w:pPr>
            <w:r>
              <w:rPr>
                <w:rFonts w:ascii="Times New Roman" w:eastAsia="宋体" w:cs="Times New Roman"/>
                <w:bCs/>
                <w:sz w:val="21"/>
                <w:szCs w:val="21"/>
              </w:rPr>
              <w:t>2、学生任务</w:t>
            </w:r>
          </w:p>
          <w:p>
            <w:pPr>
              <w:pStyle w:val="48"/>
              <w:spacing w:line="288" w:lineRule="auto"/>
              <w:jc w:val="both"/>
              <w:rPr>
                <w:rFonts w:ascii="Times New Roman" w:eastAsia="宋体" w:cs="Times New Roman"/>
                <w:bCs/>
                <w:sz w:val="21"/>
                <w:szCs w:val="21"/>
              </w:rPr>
            </w:pPr>
            <w:r>
              <w:rPr>
                <w:rFonts w:hint="eastAsia" w:ascii="宋体" w:hAnsi="宋体" w:eastAsia="宋体" w:cs="宋体"/>
                <w:bCs/>
                <w:sz w:val="21"/>
                <w:szCs w:val="21"/>
              </w:rPr>
              <w:t>①</w:t>
            </w:r>
            <w:r>
              <w:rPr>
                <w:rFonts w:ascii="Times New Roman" w:eastAsia="宋体" w:cs="Times New Roman"/>
                <w:bCs/>
                <w:sz w:val="21"/>
                <w:szCs w:val="21"/>
              </w:rPr>
              <w:t>课前完成情境3和4任务准备；</w:t>
            </w:r>
          </w:p>
          <w:p>
            <w:pPr>
              <w:pStyle w:val="48"/>
              <w:spacing w:line="288" w:lineRule="auto"/>
              <w:jc w:val="both"/>
              <w:rPr>
                <w:rFonts w:ascii="Times New Roman" w:eastAsia="宋体" w:cs="Times New Roman"/>
                <w:bCs/>
                <w:sz w:val="21"/>
                <w:szCs w:val="21"/>
              </w:rPr>
            </w:pPr>
            <w:r>
              <w:rPr>
                <w:rFonts w:hint="eastAsia" w:ascii="宋体" w:hAnsi="宋体" w:eastAsia="宋体" w:cs="宋体"/>
                <w:bCs/>
                <w:sz w:val="21"/>
                <w:szCs w:val="21"/>
              </w:rPr>
              <w:t>②</w:t>
            </w:r>
            <w:r>
              <w:rPr>
                <w:rFonts w:ascii="Times New Roman" w:eastAsia="宋体" w:cs="Times New Roman"/>
                <w:bCs/>
                <w:sz w:val="21"/>
                <w:szCs w:val="21"/>
              </w:rPr>
              <w:t>根据前期交易磋商谈判结果，进出口商双方签订出口合同；</w:t>
            </w:r>
          </w:p>
          <w:p>
            <w:pPr>
              <w:pStyle w:val="48"/>
              <w:spacing w:line="288" w:lineRule="auto"/>
              <w:jc w:val="both"/>
              <w:rPr>
                <w:rFonts w:ascii="Times New Roman" w:eastAsia="宋体" w:cs="Times New Roman"/>
                <w:bCs/>
                <w:sz w:val="21"/>
                <w:szCs w:val="21"/>
              </w:rPr>
            </w:pPr>
            <w:r>
              <w:rPr>
                <w:rFonts w:hint="eastAsia" w:ascii="宋体" w:hAnsi="宋体" w:eastAsia="宋体" w:cs="宋体"/>
                <w:bCs/>
                <w:sz w:val="21"/>
                <w:szCs w:val="21"/>
              </w:rPr>
              <w:t>③</w:t>
            </w:r>
            <w:r>
              <w:rPr>
                <w:rFonts w:ascii="Times New Roman" w:eastAsia="宋体" w:cs="Times New Roman"/>
                <w:bCs/>
                <w:sz w:val="21"/>
                <w:szCs w:val="21"/>
              </w:rPr>
              <w:t>情境项目角色模拟汇报；</w:t>
            </w:r>
          </w:p>
          <w:p>
            <w:pPr>
              <w:pStyle w:val="48"/>
              <w:spacing w:line="288" w:lineRule="auto"/>
              <w:jc w:val="both"/>
              <w:rPr>
                <w:rFonts w:ascii="Times New Roman" w:eastAsia="宋体" w:cs="Times New Roman"/>
                <w:bCs/>
                <w:sz w:val="21"/>
                <w:szCs w:val="21"/>
              </w:rPr>
            </w:pPr>
            <w:r>
              <w:rPr>
                <w:rFonts w:hint="eastAsia" w:ascii="宋体" w:hAnsi="宋体" w:eastAsia="宋体" w:cs="宋体"/>
                <w:bCs/>
                <w:sz w:val="21"/>
                <w:szCs w:val="21"/>
              </w:rPr>
              <w:t>④</w:t>
            </w:r>
            <w:r>
              <w:rPr>
                <w:rFonts w:ascii="Times New Roman" w:eastAsia="宋体" w:cs="Times New Roman"/>
                <w:bCs/>
                <w:sz w:val="21"/>
                <w:szCs w:val="21"/>
              </w:rPr>
              <w:t>课后在爱课堂平台进行互评；</w:t>
            </w:r>
          </w:p>
          <w:p>
            <w:pPr>
              <w:pStyle w:val="48"/>
              <w:spacing w:line="288" w:lineRule="auto"/>
              <w:jc w:val="both"/>
              <w:rPr>
                <w:rFonts w:ascii="Times New Roman" w:eastAsia="宋体" w:cs="Times New Roman"/>
                <w:bCs/>
                <w:snapToGrid w:val="0"/>
                <w:color w:val="auto"/>
                <w:kern w:val="2"/>
                <w:sz w:val="21"/>
                <w:szCs w:val="21"/>
              </w:rPr>
            </w:pPr>
            <w:r>
              <w:rPr>
                <w:rFonts w:hint="eastAsia" w:ascii="宋体" w:hAnsi="宋体" w:eastAsia="宋体" w:cs="宋体"/>
                <w:bCs/>
                <w:sz w:val="21"/>
                <w:szCs w:val="21"/>
              </w:rPr>
              <w:t>⑤</w:t>
            </w:r>
            <w:r>
              <w:rPr>
                <w:rFonts w:ascii="Times New Roman" w:eastAsia="宋体" w:cs="Times New Roman"/>
                <w:bCs/>
                <w:sz w:val="21"/>
                <w:szCs w:val="21"/>
              </w:rPr>
              <w:t>撰写实验报告，做好学习笔记。</w:t>
            </w:r>
          </w:p>
        </w:tc>
      </w:tr>
    </w:tbl>
    <w:p>
      <w:pPr>
        <w:widowControl/>
        <w:spacing w:line="300" w:lineRule="auto"/>
        <w:jc w:val="left"/>
        <w:rPr>
          <w:rFonts w:ascii="Times New Roman" w:hAnsi="Times New Roman" w:eastAsia="宋体" w:cs="Times New Roman"/>
          <w:b/>
          <w:color w:val="000000" w:themeColor="text1"/>
          <w:szCs w:val="21"/>
          <w14:textFill>
            <w14:solidFill>
              <w14:schemeClr w14:val="tx1"/>
            </w14:solidFill>
          </w14:textFill>
        </w:rPr>
        <w:sectPr>
          <w:footerReference r:id="rId4" w:type="default"/>
          <w:pgSz w:w="16838" w:h="11906" w:orient="landscape"/>
          <w:pgMar w:top="1797" w:right="1440" w:bottom="1797" w:left="1440" w:header="851" w:footer="992" w:gutter="0"/>
          <w:cols w:space="425" w:num="1"/>
          <w:docGrid w:type="lines" w:linePitch="312" w:charSpace="0"/>
        </w:sectPr>
      </w:pPr>
    </w:p>
    <w:p>
      <w:pPr>
        <w:pStyle w:val="3"/>
        <w:spacing w:before="0" w:after="0" w:line="300" w:lineRule="auto"/>
        <w:rPr>
          <w:rFonts w:ascii="Times New Roman" w:hAnsi="Times New Roman" w:eastAsia="宋体" w:cs="Times New Roman"/>
          <w:color w:val="000000" w:themeColor="text1"/>
          <w:sz w:val="21"/>
          <w:szCs w:val="21"/>
          <w14:textFill>
            <w14:solidFill>
              <w14:schemeClr w14:val="tx1"/>
            </w14:solidFill>
          </w14:textFill>
        </w:rPr>
      </w:pPr>
      <w:bookmarkStart w:id="88" w:name="_Toc89439463"/>
      <w:bookmarkStart w:id="89" w:name="_Toc82109027"/>
      <w:bookmarkStart w:id="90" w:name="_Toc89440969"/>
      <w:bookmarkStart w:id="91" w:name="_Toc85097230"/>
      <w:bookmarkStart w:id="92" w:name="_Toc102337690"/>
      <w:bookmarkStart w:id="93" w:name="_Toc101980933"/>
      <w:r>
        <w:rPr>
          <w:rFonts w:ascii="黑体" w:hAnsi="黑体" w:cs="Times New Roman"/>
          <w:b w:val="0"/>
          <w:color w:val="000000" w:themeColor="text1"/>
          <w:sz w:val="24"/>
          <w14:textFill>
            <w14:solidFill>
              <w14:schemeClr w14:val="tx1"/>
            </w14:solidFill>
          </w14:textFill>
        </w:rPr>
        <w:t>3.1.3 教学环境与教学资源</w:t>
      </w:r>
      <w:bookmarkEnd w:id="88"/>
      <w:bookmarkEnd w:id="89"/>
      <w:bookmarkEnd w:id="90"/>
      <w:bookmarkEnd w:id="91"/>
      <w:bookmarkEnd w:id="92"/>
      <w:bookmarkEnd w:id="93"/>
    </w:p>
    <w:p>
      <w:pPr>
        <w:spacing w:line="300" w:lineRule="auto"/>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b/>
          <w:bCs/>
          <w:color w:val="000000" w:themeColor="text1"/>
          <w:sz w:val="24"/>
          <w14:textFill>
            <w14:solidFill>
              <w14:schemeClr w14:val="tx1"/>
            </w14:solidFill>
          </w14:textFill>
        </w:rPr>
        <w:t>教学环境</w:t>
      </w:r>
    </w:p>
    <w:p>
      <w:pPr>
        <w:spacing w:line="300" w:lineRule="auto"/>
        <w:rPr>
          <w:rFonts w:ascii="Times New Roman" w:hAnsi="Times New Roman" w:eastAsia="宋体" w:cs="Times New Roman"/>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①</w:t>
      </w:r>
      <w:r>
        <w:rPr>
          <w:rFonts w:ascii="Times New Roman" w:hAnsi="Times New Roman" w:eastAsia="宋体" w:cs="Times New Roman"/>
          <w:b/>
          <w:color w:val="000000" w:themeColor="text1"/>
          <w:sz w:val="24"/>
          <w14:textFill>
            <w14:solidFill>
              <w14:schemeClr w14:val="tx1"/>
            </w14:solidFill>
          </w14:textFill>
        </w:rPr>
        <w:t>教室：</w:t>
      </w:r>
      <w:r>
        <w:rPr>
          <w:rFonts w:ascii="Times New Roman" w:hAnsi="Times New Roman" w:eastAsia="宋体" w:cs="Times New Roman"/>
          <w:color w:val="000000" w:themeColor="text1"/>
          <w:sz w:val="24"/>
          <w14:textFill>
            <w14:solidFill>
              <w14:schemeClr w14:val="tx1"/>
            </w14:solidFill>
          </w14:textFill>
        </w:rPr>
        <w:t>标准化智慧教室</w:t>
      </w:r>
    </w:p>
    <w:p>
      <w:pPr>
        <w:spacing w:line="300" w:lineRule="auto"/>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drawing>
          <wp:inline distT="0" distB="0" distL="0" distR="0">
            <wp:extent cx="3185160" cy="2388870"/>
            <wp:effectExtent l="0" t="0" r="0" b="0"/>
            <wp:docPr id="12330" name="图片 2" descr="C:\Users\Administrator\Documents\Tencent Files\2513905001\Image\Group2\9Z\)X\9Z)X5{E$2X9{JG~NM}9SI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0" name="图片 2" descr="C:\Users\Administrator\Documents\Tencent Files\2513905001\Image\Group2\9Z\)X\9Z)X5{E$2X9{JG~NM}9SIM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189373" cy="2392031"/>
                    </a:xfrm>
                    <a:prstGeom prst="rect">
                      <a:avLst/>
                    </a:prstGeom>
                    <a:noFill/>
                    <a:ln>
                      <a:noFill/>
                    </a:ln>
                  </pic:spPr>
                </pic:pic>
              </a:graphicData>
            </a:graphic>
          </wp:inline>
        </w:drawing>
      </w:r>
    </w:p>
    <w:p>
      <w:pPr>
        <w:spacing w:line="300" w:lineRule="auto"/>
        <w:jc w:val="center"/>
        <w:rPr>
          <w:rFonts w:ascii="黑体" w:hAnsi="黑体" w:eastAsia="黑体" w:cs="Times New Roman"/>
          <w:bCs/>
          <w:color w:val="000000" w:themeColor="text1"/>
          <w:sz w:val="24"/>
          <w14:textFill>
            <w14:solidFill>
              <w14:schemeClr w14:val="tx1"/>
            </w14:solidFill>
          </w14:textFill>
        </w:rPr>
      </w:pPr>
    </w:p>
    <w:p>
      <w:pPr>
        <w:spacing w:line="300" w:lineRule="auto"/>
        <w:jc w:val="center"/>
        <w:rPr>
          <w:rFonts w:ascii="Times New Roman" w:hAnsi="Times New Roman" w:eastAsia="宋体" w:cs="Times New Roman"/>
          <w:bCs/>
          <w:color w:val="000000" w:themeColor="text1"/>
          <w:sz w:val="24"/>
          <w14:textFill>
            <w14:solidFill>
              <w14:schemeClr w14:val="tx1"/>
            </w14:solidFill>
          </w14:textFill>
        </w:rPr>
      </w:pPr>
      <w:r>
        <w:rPr>
          <w:rFonts w:ascii="黑体" w:hAnsi="黑体" w:eastAsia="黑体" w:cs="Times New Roman"/>
          <w:bCs/>
          <w:color w:val="000000" w:themeColor="text1"/>
          <w:sz w:val="24"/>
          <w14:textFill>
            <w14:solidFill>
              <w14:schemeClr w14:val="tx1"/>
            </w14:solidFill>
          </w14:textFill>
        </w:rPr>
        <w:t>图3-3</w:t>
      </w:r>
      <w:r>
        <w:rPr>
          <w:rFonts w:ascii="Times New Roman" w:hAnsi="Times New Roman" w:eastAsia="宋体" w:cs="Times New Roman"/>
          <w:bCs/>
          <w:color w:val="000000" w:themeColor="text1"/>
          <w:sz w:val="24"/>
          <w14:textFill>
            <w14:solidFill>
              <w14:schemeClr w14:val="tx1"/>
            </w14:solidFill>
          </w14:textFill>
        </w:rPr>
        <w:t xml:space="preserve"> 智慧教室</w:t>
      </w:r>
    </w:p>
    <w:p>
      <w:pPr>
        <w:spacing w:line="300" w:lineRule="auto"/>
        <w:jc w:val="center"/>
        <w:rPr>
          <w:rFonts w:ascii="Times New Roman" w:hAnsi="Times New Roman" w:eastAsia="宋体" w:cs="Times New Roman"/>
          <w:bCs/>
          <w:color w:val="000000" w:themeColor="text1"/>
          <w:sz w:val="24"/>
          <w14:textFill>
            <w14:solidFill>
              <w14:schemeClr w14:val="tx1"/>
            </w14:solidFill>
          </w14:textFill>
        </w:rPr>
      </w:pPr>
    </w:p>
    <w:p>
      <w:pPr>
        <w:spacing w:line="300" w:lineRule="auto"/>
        <w:rPr>
          <w:rFonts w:ascii="Times New Roman" w:hAnsi="Times New Roman" w:eastAsia="宋体" w:cs="Times New Roman"/>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②</w:t>
      </w:r>
      <w:r>
        <w:rPr>
          <w:rFonts w:ascii="Times New Roman" w:hAnsi="Times New Roman" w:eastAsia="宋体" w:cs="Times New Roman"/>
          <w:b/>
          <w:bCs/>
          <w:color w:val="000000" w:themeColor="text1"/>
          <w:sz w:val="24"/>
          <w14:textFill>
            <w14:solidFill>
              <w14:schemeClr w14:val="tx1"/>
            </w14:solidFill>
          </w14:textFill>
        </w:rPr>
        <w:t>智慧教学平台：</w:t>
      </w:r>
      <w:r>
        <w:rPr>
          <w:rFonts w:ascii="Times New Roman" w:hAnsi="Times New Roman" w:eastAsia="宋体" w:cs="Times New Roman"/>
          <w:color w:val="000000" w:themeColor="text1"/>
          <w:sz w:val="24"/>
          <w14:textFill>
            <w14:solidFill>
              <w14:schemeClr w14:val="tx1"/>
            </w14:solidFill>
          </w14:textFill>
        </w:rPr>
        <w:t>讯飞爱课堂，FIF平台</w:t>
      </w:r>
    </w:p>
    <w:p>
      <w:pPr>
        <w:spacing w:line="300" w:lineRule="auto"/>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drawing>
          <wp:inline distT="0" distB="0" distL="0" distR="0">
            <wp:extent cx="4806315" cy="2362200"/>
            <wp:effectExtent l="0" t="0" r="0" b="0"/>
            <wp:docPr id="12331" name="图片 12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1" name="图片 12331"/>
                    <pic:cNvPicPr>
                      <a:picLocks noChangeAspect="1"/>
                    </pic:cNvPicPr>
                  </pic:nvPicPr>
                  <pic:blipFill>
                    <a:blip r:embed="rId12"/>
                    <a:stretch>
                      <a:fillRect/>
                    </a:stretch>
                  </pic:blipFill>
                  <pic:spPr>
                    <a:xfrm>
                      <a:off x="0" y="0"/>
                      <a:ext cx="4810078" cy="2363923"/>
                    </a:xfrm>
                    <a:prstGeom prst="rect">
                      <a:avLst/>
                    </a:prstGeom>
                  </pic:spPr>
                </pic:pic>
              </a:graphicData>
            </a:graphic>
          </wp:inline>
        </w:drawing>
      </w:r>
    </w:p>
    <w:p>
      <w:pPr>
        <w:spacing w:line="300" w:lineRule="auto"/>
        <w:jc w:val="center"/>
        <w:rPr>
          <w:rFonts w:ascii="黑体" w:hAnsi="黑体" w:eastAsia="黑体" w:cs="Times New Roman"/>
          <w:color w:val="000000" w:themeColor="text1"/>
          <w:sz w:val="24"/>
          <w14:textFill>
            <w14:solidFill>
              <w14:schemeClr w14:val="tx1"/>
            </w14:solidFill>
          </w14:textFill>
        </w:rPr>
      </w:pPr>
    </w:p>
    <w:p>
      <w:pPr>
        <w:spacing w:line="300" w:lineRule="auto"/>
        <w:jc w:val="center"/>
        <w:rPr>
          <w:rFonts w:ascii="Times New Roman" w:hAnsi="Times New Roman" w:eastAsia="宋体" w:cs="Times New Roman"/>
          <w:color w:val="000000" w:themeColor="text1"/>
          <w:sz w:val="24"/>
          <w14:textFill>
            <w14:solidFill>
              <w14:schemeClr w14:val="tx1"/>
            </w14:solidFill>
          </w14:textFill>
        </w:rPr>
      </w:pPr>
      <w:r>
        <w:rPr>
          <w:rFonts w:ascii="黑体" w:hAnsi="黑体" w:eastAsia="黑体" w:cs="Times New Roman"/>
          <w:color w:val="000000" w:themeColor="text1"/>
          <w:sz w:val="24"/>
          <w14:textFill>
            <w14:solidFill>
              <w14:schemeClr w14:val="tx1"/>
            </w14:solidFill>
          </w14:textFill>
        </w:rPr>
        <w:t xml:space="preserve">图3-4 </w:t>
      </w:r>
      <w:r>
        <w:rPr>
          <w:rFonts w:ascii="Times New Roman" w:hAnsi="Times New Roman" w:eastAsia="宋体" w:cs="Times New Roman"/>
          <w:color w:val="000000" w:themeColor="text1"/>
          <w:sz w:val="24"/>
          <w14:textFill>
            <w14:solidFill>
              <w14:schemeClr w14:val="tx1"/>
            </w14:solidFill>
          </w14:textFill>
        </w:rPr>
        <w:t>讯飞爱课堂软件</w:t>
      </w:r>
    </w:p>
    <w:p>
      <w:pPr>
        <w:spacing w:line="300" w:lineRule="auto"/>
        <w:jc w:val="center"/>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drawing>
          <wp:inline distT="0" distB="0" distL="0" distR="0">
            <wp:extent cx="4685665" cy="2159635"/>
            <wp:effectExtent l="0" t="0" r="635" b="0"/>
            <wp:docPr id="12332" name="图片 12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2" name="图片 12332"/>
                    <pic:cNvPicPr>
                      <a:picLocks noChangeAspect="1"/>
                    </pic:cNvPicPr>
                  </pic:nvPicPr>
                  <pic:blipFill>
                    <a:blip r:embed="rId13"/>
                    <a:stretch>
                      <a:fillRect/>
                    </a:stretch>
                  </pic:blipFill>
                  <pic:spPr>
                    <a:xfrm>
                      <a:off x="0" y="0"/>
                      <a:ext cx="4696720" cy="2164586"/>
                    </a:xfrm>
                    <a:prstGeom prst="rect">
                      <a:avLst/>
                    </a:prstGeom>
                  </pic:spPr>
                </pic:pic>
              </a:graphicData>
            </a:graphic>
          </wp:inline>
        </w:drawing>
      </w:r>
    </w:p>
    <w:p>
      <w:pPr>
        <w:spacing w:line="300" w:lineRule="auto"/>
        <w:jc w:val="center"/>
        <w:rPr>
          <w:rFonts w:ascii="黑体" w:hAnsi="黑体" w:eastAsia="黑体" w:cs="Times New Roman"/>
          <w:color w:val="000000" w:themeColor="text1"/>
          <w:sz w:val="24"/>
          <w14:textFill>
            <w14:solidFill>
              <w14:schemeClr w14:val="tx1"/>
            </w14:solidFill>
          </w14:textFill>
        </w:rPr>
      </w:pPr>
    </w:p>
    <w:p>
      <w:pPr>
        <w:spacing w:line="300" w:lineRule="auto"/>
        <w:jc w:val="center"/>
        <w:rPr>
          <w:rFonts w:ascii="Times New Roman" w:hAnsi="Times New Roman" w:eastAsia="宋体" w:cs="Times New Roman"/>
          <w:color w:val="000000" w:themeColor="text1"/>
          <w:sz w:val="24"/>
          <w14:textFill>
            <w14:solidFill>
              <w14:schemeClr w14:val="tx1"/>
            </w14:solidFill>
          </w14:textFill>
        </w:rPr>
      </w:pPr>
      <w:r>
        <w:rPr>
          <w:rFonts w:ascii="黑体" w:hAnsi="黑体" w:eastAsia="黑体" w:cs="Times New Roman"/>
          <w:color w:val="000000" w:themeColor="text1"/>
          <w:sz w:val="24"/>
          <w14:textFill>
            <w14:solidFill>
              <w14:schemeClr w14:val="tx1"/>
            </w14:solidFill>
          </w14:textFill>
        </w:rPr>
        <w:t>图3-5</w:t>
      </w:r>
      <w:r>
        <w:rPr>
          <w:rFonts w:ascii="Times New Roman" w:hAnsi="Times New Roman" w:eastAsia="宋体" w:cs="Times New Roman"/>
          <w:color w:val="000000" w:themeColor="text1"/>
          <w:sz w:val="24"/>
          <w14:textFill>
            <w14:solidFill>
              <w14:schemeClr w14:val="tx1"/>
            </w14:solidFill>
          </w14:textFill>
        </w:rPr>
        <w:t xml:space="preserve"> FIF智慧教学平台</w:t>
      </w:r>
    </w:p>
    <w:p>
      <w:pPr>
        <w:spacing w:line="300" w:lineRule="auto"/>
        <w:rPr>
          <w:rFonts w:ascii="Times New Roman" w:hAnsi="Times New Roman" w:eastAsia="宋体" w:cs="Times New Roman"/>
          <w:b/>
          <w:bCs/>
          <w:color w:val="000000" w:themeColor="text1"/>
          <w:sz w:val="24"/>
          <w14:textFill>
            <w14:solidFill>
              <w14:schemeClr w14:val="tx1"/>
            </w14:solidFill>
          </w14:textFill>
        </w:rPr>
      </w:pPr>
      <w:r>
        <w:rPr>
          <w:rFonts w:ascii="Times New Roman" w:hAnsi="Times New Roman" w:eastAsia="宋体" w:cs="Times New Roman"/>
          <w:b/>
          <w:bCs/>
          <w:color w:val="000000" w:themeColor="text1"/>
          <w:sz w:val="24"/>
          <w14:textFill>
            <w14:solidFill>
              <w14:schemeClr w14:val="tx1"/>
            </w14:solidFill>
          </w14:textFill>
        </w:rPr>
        <w:t>教学资源</w:t>
      </w:r>
    </w:p>
    <w:p>
      <w:pPr>
        <w:widowControl/>
        <w:spacing w:line="300" w:lineRule="auto"/>
        <w:rPr>
          <w:rFonts w:ascii="Times New Roman" w:hAnsi="Times New Roman" w:eastAsia="宋体" w:cs="Times New Roman"/>
          <w:b/>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①</w:t>
      </w:r>
      <w:r>
        <w:rPr>
          <w:rFonts w:ascii="Times New Roman" w:hAnsi="Times New Roman" w:eastAsia="宋体" w:cs="Times New Roman"/>
          <w:b/>
          <w:color w:val="000000" w:themeColor="text1"/>
          <w:sz w:val="24"/>
          <w14:textFill>
            <w14:solidFill>
              <w14:schemeClr w14:val="tx1"/>
            </w14:solidFill>
          </w14:textFill>
        </w:rPr>
        <w:t>线上资源</w:t>
      </w:r>
    </w:p>
    <w:p>
      <w:pPr>
        <w:widowControl/>
        <w:spacing w:line="30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FIF教学平台SPOC《国际贸易实务》、在线测试题、国际贸易实务相关文献资料等。</w:t>
      </w:r>
    </w:p>
    <w:p>
      <w:pPr>
        <w:widowControl/>
        <w:spacing w:line="300" w:lineRule="auto"/>
        <w:jc w:val="left"/>
        <w:rPr>
          <w:rFonts w:ascii="Times New Roman" w:hAnsi="Times New Roman" w:eastAsia="宋体" w:cs="Times New Roman"/>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②</w:t>
      </w:r>
      <w:r>
        <w:rPr>
          <w:rFonts w:ascii="Times New Roman" w:hAnsi="Times New Roman" w:eastAsia="宋体" w:cs="Times New Roman"/>
          <w:b/>
          <w:bCs/>
          <w:color w:val="000000" w:themeColor="text1"/>
          <w:sz w:val="24"/>
          <w14:textFill>
            <w14:solidFill>
              <w14:schemeClr w14:val="tx1"/>
            </w14:solidFill>
          </w14:textFill>
        </w:rPr>
        <w:t>线下资源</w:t>
      </w:r>
    </w:p>
    <w:p>
      <w:pPr>
        <w:widowControl/>
        <w:spacing w:line="30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自制课件、自制案例集、相关资料汇总（如国际贸易术语汇总整理EXCEL文档）、实验指导书、完整情境案例等。</w:t>
      </w:r>
    </w:p>
    <w:p>
      <w:pPr>
        <w:pStyle w:val="3"/>
        <w:spacing w:before="0" w:after="0" w:line="300" w:lineRule="auto"/>
        <w:rPr>
          <w:rFonts w:ascii="楷体" w:hAnsi="楷体" w:eastAsia="楷体" w:cs="Times New Roman"/>
          <w:sz w:val="28"/>
          <w:szCs w:val="21"/>
        </w:rPr>
      </w:pPr>
      <w:bookmarkStart w:id="94" w:name="_Toc85097231"/>
      <w:bookmarkStart w:id="95" w:name="_Toc101980934"/>
      <w:bookmarkStart w:id="96" w:name="_Toc89440970"/>
      <w:bookmarkStart w:id="97" w:name="_Toc82109028"/>
      <w:bookmarkStart w:id="98" w:name="_Toc89439464"/>
      <w:bookmarkStart w:id="99" w:name="_Toc102337691"/>
      <w:r>
        <w:rPr>
          <w:rFonts w:ascii="楷体" w:hAnsi="楷体" w:eastAsia="楷体" w:cs="Times New Roman"/>
          <w:sz w:val="28"/>
          <w:szCs w:val="21"/>
        </w:rPr>
        <w:t>3.2 课程教学活动实施</w:t>
      </w:r>
      <w:bookmarkEnd w:id="94"/>
      <w:bookmarkEnd w:id="95"/>
      <w:bookmarkEnd w:id="96"/>
      <w:bookmarkEnd w:id="97"/>
      <w:bookmarkEnd w:id="98"/>
      <w:bookmarkEnd w:id="99"/>
    </w:p>
    <w:p>
      <w:pPr>
        <w:spacing w:line="30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bCs/>
          <w:color w:val="000000" w:themeColor="text1"/>
          <w:sz w:val="24"/>
          <w14:textFill>
            <w14:solidFill>
              <w14:schemeClr w14:val="tx1"/>
            </w14:solidFill>
          </w14:textFill>
        </w:rPr>
        <w:t>国际贸易中交易磋商环节至关重要，而其中最为关键的就是报价。接下来以情境2中有关报价核算任务为例，对情境教学实施过程进行详细阐述</w:t>
      </w:r>
      <w:r>
        <w:rPr>
          <w:rFonts w:ascii="Times New Roman" w:hAnsi="Times New Roman" w:eastAsia="宋体" w:cs="Times New Roman"/>
          <w:color w:val="000000" w:themeColor="text1"/>
          <w:sz w:val="24"/>
          <w14:textFill>
            <w14:solidFill>
              <w14:schemeClr w14:val="tx1"/>
            </w14:solidFill>
          </w14:textFill>
        </w:rPr>
        <w:t>。</w:t>
      </w:r>
    </w:p>
    <w:p>
      <w:pPr>
        <w:pStyle w:val="3"/>
        <w:spacing w:before="0" w:after="0" w:line="300" w:lineRule="auto"/>
        <w:rPr>
          <w:rFonts w:ascii="黑体" w:hAnsi="黑体" w:cs="Times New Roman"/>
          <w:b w:val="0"/>
          <w:color w:val="000000" w:themeColor="text1"/>
          <w:sz w:val="24"/>
          <w14:textFill>
            <w14:solidFill>
              <w14:schemeClr w14:val="tx1"/>
            </w14:solidFill>
          </w14:textFill>
        </w:rPr>
      </w:pPr>
      <w:bookmarkStart w:id="100" w:name="_Toc89439465"/>
      <w:bookmarkStart w:id="101" w:name="_Toc85097232"/>
      <w:bookmarkStart w:id="102" w:name="_Toc82109029"/>
      <w:bookmarkStart w:id="103" w:name="_Toc101980935"/>
      <w:bookmarkStart w:id="104" w:name="_Toc89440971"/>
      <w:bookmarkStart w:id="105" w:name="_Toc102337692"/>
      <w:r>
        <w:rPr>
          <w:rFonts w:ascii="黑体" w:hAnsi="黑体" w:cs="Times New Roman"/>
          <w:b w:val="0"/>
          <w:color w:val="000000" w:themeColor="text1"/>
          <w:sz w:val="24"/>
          <w14:textFill>
            <w14:solidFill>
              <w14:schemeClr w14:val="tx1"/>
            </w14:solidFill>
          </w14:textFill>
        </w:rPr>
        <w:t>3.2.1 课前：知识浅层学习</w:t>
      </w:r>
      <w:bookmarkEnd w:id="100"/>
      <w:bookmarkEnd w:id="101"/>
      <w:bookmarkEnd w:id="102"/>
      <w:bookmarkEnd w:id="103"/>
      <w:bookmarkEnd w:id="104"/>
      <w:bookmarkEnd w:id="105"/>
    </w:p>
    <w:p>
      <w:pPr>
        <w:spacing w:line="30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第一阶段，课前教师在线上平台发布导入学习视频，视频主要目的是让学生大概了解本节课程主要知识点，如贸易术语、贸易术语种类及如何报价，并让学生观看视频，自主思考问题，对报价有基础认识。</w:t>
      </w:r>
    </w:p>
    <w:p>
      <w:pPr>
        <w:spacing w:line="300" w:lineRule="auto"/>
        <w:rPr>
          <w:rFonts w:ascii="Times New Roman" w:hAnsi="Times New Roman" w:eastAsia="宋体" w:cs="Times New Roman"/>
          <w:color w:val="000000" w:themeColor="text1"/>
          <w:szCs w:val="21"/>
          <w14:textFill>
            <w14:solidFill>
              <w14:schemeClr w14:val="tx1"/>
            </w14:solidFill>
          </w14:textFill>
        </w:rPr>
        <w:sectPr>
          <w:footerReference r:id="rId5" w:type="default"/>
          <w:pgSz w:w="11906" w:h="16838"/>
          <w:pgMar w:top="1440" w:right="1800" w:bottom="1440" w:left="1800" w:header="851" w:footer="992" w:gutter="0"/>
          <w:cols w:space="425" w:num="1"/>
          <w:docGrid w:type="lines" w:linePitch="312" w:charSpace="0"/>
        </w:sectPr>
      </w:pPr>
    </w:p>
    <w:p>
      <w:pPr>
        <w:spacing w:line="300" w:lineRule="auto"/>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drawing>
          <wp:inline distT="0" distB="0" distL="0" distR="0">
            <wp:extent cx="2616835" cy="1394460"/>
            <wp:effectExtent l="0" t="0" r="0" b="0"/>
            <wp:docPr id="12333" name="图片 12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3" name="图片 12333"/>
                    <pic:cNvPicPr>
                      <a:picLocks noChangeAspect="1"/>
                    </pic:cNvPicPr>
                  </pic:nvPicPr>
                  <pic:blipFill>
                    <a:blip r:embed="rId14"/>
                    <a:stretch>
                      <a:fillRect/>
                    </a:stretch>
                  </pic:blipFill>
                  <pic:spPr>
                    <a:xfrm>
                      <a:off x="0" y="0"/>
                      <a:ext cx="2661874" cy="1418425"/>
                    </a:xfrm>
                    <a:prstGeom prst="rect">
                      <a:avLst/>
                    </a:prstGeom>
                  </pic:spPr>
                </pic:pic>
              </a:graphicData>
            </a:graphic>
          </wp:inline>
        </w:drawing>
      </w:r>
      <w:r>
        <w:rPr>
          <w:rFonts w:ascii="Times New Roman" w:hAnsi="Times New Roman" w:eastAsia="宋体" w:cs="Times New Roman"/>
          <w:color w:val="000000" w:themeColor="text1"/>
          <w:szCs w:val="21"/>
          <w14:textFill>
            <w14:solidFill>
              <w14:schemeClr w14:val="tx1"/>
            </w14:solidFill>
          </w14:textFill>
        </w:rPr>
        <w:drawing>
          <wp:inline distT="0" distB="0" distL="0" distR="0">
            <wp:extent cx="2663190" cy="1409700"/>
            <wp:effectExtent l="0" t="0" r="3810" b="0"/>
            <wp:docPr id="12334" name="图片 12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4" name="图片 12334"/>
                    <pic:cNvPicPr>
                      <a:picLocks noChangeAspect="1"/>
                    </pic:cNvPicPr>
                  </pic:nvPicPr>
                  <pic:blipFill>
                    <a:blip r:embed="rId15"/>
                    <a:stretch>
                      <a:fillRect/>
                    </a:stretch>
                  </pic:blipFill>
                  <pic:spPr>
                    <a:xfrm>
                      <a:off x="0" y="0"/>
                      <a:ext cx="2697060" cy="1427436"/>
                    </a:xfrm>
                    <a:prstGeom prst="rect">
                      <a:avLst/>
                    </a:prstGeom>
                  </pic:spPr>
                </pic:pic>
              </a:graphicData>
            </a:graphic>
          </wp:inline>
        </w:drawing>
      </w:r>
    </w:p>
    <w:p>
      <w:pPr>
        <w:spacing w:line="300" w:lineRule="auto"/>
        <w:jc w:val="center"/>
        <w:rPr>
          <w:rFonts w:ascii="Times New Roman" w:hAnsi="Times New Roman" w:eastAsia="宋体" w:cs="Times New Roman"/>
          <w:color w:val="000000" w:themeColor="text1"/>
          <w:szCs w:val="21"/>
          <w14:textFill>
            <w14:solidFill>
              <w14:schemeClr w14:val="tx1"/>
            </w14:solidFill>
          </w14:textFill>
        </w:rPr>
        <w:sectPr>
          <w:type w:val="continuous"/>
          <w:pgSz w:w="11906" w:h="16838"/>
          <w:pgMar w:top="1440" w:right="1800" w:bottom="1440" w:left="1800" w:header="851" w:footer="992" w:gutter="0"/>
          <w:cols w:space="425" w:num="2"/>
          <w:docGrid w:type="lines" w:linePitch="312" w:charSpace="0"/>
        </w:sectPr>
      </w:pPr>
    </w:p>
    <w:p>
      <w:pPr>
        <w:spacing w:line="300" w:lineRule="auto"/>
        <w:jc w:val="center"/>
        <w:rPr>
          <w:rFonts w:ascii="黑体" w:hAnsi="黑体" w:eastAsia="黑体" w:cs="Times New Roman"/>
          <w:color w:val="000000" w:themeColor="text1"/>
          <w:sz w:val="24"/>
          <w14:textFill>
            <w14:solidFill>
              <w14:schemeClr w14:val="tx1"/>
            </w14:solidFill>
          </w14:textFill>
        </w:rPr>
      </w:pPr>
    </w:p>
    <w:p>
      <w:pPr>
        <w:spacing w:line="300" w:lineRule="auto"/>
        <w:jc w:val="center"/>
        <w:rPr>
          <w:rFonts w:ascii="Times New Roman" w:hAnsi="Times New Roman" w:eastAsia="宋体" w:cs="Times New Roman"/>
          <w:color w:val="000000" w:themeColor="text1"/>
          <w:sz w:val="24"/>
          <w14:textFill>
            <w14:solidFill>
              <w14:schemeClr w14:val="tx1"/>
            </w14:solidFill>
          </w14:textFill>
        </w:rPr>
      </w:pPr>
      <w:r>
        <w:rPr>
          <w:rFonts w:ascii="黑体" w:hAnsi="黑体" w:eastAsia="黑体" w:cs="Times New Roman"/>
          <w:color w:val="000000" w:themeColor="text1"/>
          <w:sz w:val="24"/>
          <w14:textFill>
            <w14:solidFill>
              <w14:schemeClr w14:val="tx1"/>
            </w14:solidFill>
          </w14:textFill>
        </w:rPr>
        <w:t xml:space="preserve">图3-6 </w:t>
      </w:r>
      <w:r>
        <w:rPr>
          <w:rFonts w:ascii="Times New Roman" w:hAnsi="Times New Roman" w:eastAsia="宋体" w:cs="Times New Roman"/>
          <w:color w:val="000000" w:themeColor="text1"/>
          <w:sz w:val="24"/>
          <w14:textFill>
            <w14:solidFill>
              <w14:schemeClr w14:val="tx1"/>
            </w14:solidFill>
          </w14:textFill>
        </w:rPr>
        <w:t>线上自主学习思考浅层问题</w:t>
      </w:r>
    </w:p>
    <w:p>
      <w:pPr>
        <w:spacing w:line="300" w:lineRule="auto"/>
        <w:jc w:val="center"/>
        <w:rPr>
          <w:rFonts w:ascii="Times New Roman" w:hAnsi="Times New Roman" w:eastAsia="宋体" w:cs="Times New Roman"/>
          <w:color w:val="000000" w:themeColor="text1"/>
          <w:sz w:val="24"/>
          <w14:textFill>
            <w14:solidFill>
              <w14:schemeClr w14:val="tx1"/>
            </w14:solidFill>
          </w14:textFill>
        </w:rPr>
      </w:pPr>
    </w:p>
    <w:p>
      <w:pPr>
        <w:spacing w:line="300" w:lineRule="auto"/>
        <w:jc w:val="center"/>
        <w:rPr>
          <w:rFonts w:ascii="Times New Roman" w:hAnsi="Times New Roman" w:eastAsia="宋体" w:cs="Times New Roman"/>
          <w:color w:val="000000" w:themeColor="text1"/>
          <w:sz w:val="24"/>
          <w14:textFill>
            <w14:solidFill>
              <w14:schemeClr w14:val="tx1"/>
            </w14:solidFill>
          </w14:textFill>
        </w:rPr>
        <w:sectPr>
          <w:type w:val="continuous"/>
          <w:pgSz w:w="11906" w:h="16838"/>
          <w:pgMar w:top="1440" w:right="1800" w:bottom="1440" w:left="1800" w:header="851" w:footer="992" w:gutter="0"/>
          <w:cols w:space="425" w:num="1"/>
          <w:docGrid w:type="lines" w:linePitch="312" w:charSpace="0"/>
        </w:sectPr>
      </w:pPr>
    </w:p>
    <w:p>
      <w:pPr>
        <w:snapToGrid w:val="0"/>
        <w:spacing w:line="30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第二阶段通过模拟示意图形式讲解FOB与CIF的区别，为了解学生是否真正掌握该知识点，以案例分析买卖双方的责任、风险等，并总结贸易术语的作用。</w:t>
      </w:r>
    </w:p>
    <w:p>
      <w:pPr>
        <w:spacing w:line="300" w:lineRule="auto"/>
        <w:ind w:firstLine="420" w:firstLineChars="200"/>
        <w:rPr>
          <w:rFonts w:ascii="Times New Roman" w:hAnsi="Times New Roman" w:eastAsia="宋体" w:cs="Times New Roman"/>
          <w:color w:val="000000" w:themeColor="text1"/>
          <w:szCs w:val="21"/>
          <w14:textFill>
            <w14:solidFill>
              <w14:schemeClr w14:val="tx1"/>
            </w14:solidFill>
          </w14:textFill>
        </w:rPr>
        <w:sectPr>
          <w:type w:val="continuous"/>
          <w:pgSz w:w="11906" w:h="16838"/>
          <w:pgMar w:top="1440" w:right="1800" w:bottom="1440" w:left="1800" w:header="851" w:footer="992" w:gutter="0"/>
          <w:cols w:space="425" w:num="1"/>
          <w:docGrid w:type="lines" w:linePitch="312" w:charSpace="0"/>
        </w:sectPr>
      </w:pPr>
    </w:p>
    <w:p>
      <w:pPr>
        <w:spacing w:line="300" w:lineRule="auto"/>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drawing>
          <wp:inline distT="0" distB="0" distL="0" distR="0">
            <wp:extent cx="2411095" cy="2265045"/>
            <wp:effectExtent l="0" t="0" r="1905" b="8255"/>
            <wp:docPr id="12335" name="图片 12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5" name="图片 12335"/>
                    <pic:cNvPicPr>
                      <a:picLocks noChangeAspect="1"/>
                    </pic:cNvPicPr>
                  </pic:nvPicPr>
                  <pic:blipFill>
                    <a:blip r:embed="rId16"/>
                    <a:stretch>
                      <a:fillRect/>
                    </a:stretch>
                  </pic:blipFill>
                  <pic:spPr>
                    <a:xfrm>
                      <a:off x="0" y="0"/>
                      <a:ext cx="2411113" cy="2265045"/>
                    </a:xfrm>
                    <a:prstGeom prst="rect">
                      <a:avLst/>
                    </a:prstGeom>
                  </pic:spPr>
                </pic:pic>
              </a:graphicData>
            </a:graphic>
          </wp:inline>
        </w:drawing>
      </w:r>
      <w:r>
        <w:rPr>
          <w:rFonts w:ascii="Times New Roman" w:hAnsi="Times New Roman" w:eastAsia="宋体" w:cs="Times New Roman"/>
          <w:color w:val="000000" w:themeColor="text1"/>
          <w:szCs w:val="21"/>
          <w14:textFill>
            <w14:solidFill>
              <w14:schemeClr w14:val="tx1"/>
            </w14:solidFill>
          </w14:textFill>
        </w:rPr>
        <w:drawing>
          <wp:inline distT="0" distB="0" distL="0" distR="0">
            <wp:extent cx="2353945" cy="2240915"/>
            <wp:effectExtent l="0" t="0" r="8255" b="6985"/>
            <wp:docPr id="12336" name="图片 1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6" name="图片 12336"/>
                    <pic:cNvPicPr>
                      <a:picLocks noChangeAspect="1"/>
                    </pic:cNvPicPr>
                  </pic:nvPicPr>
                  <pic:blipFill>
                    <a:blip r:embed="rId17"/>
                    <a:stretch>
                      <a:fillRect/>
                    </a:stretch>
                  </pic:blipFill>
                  <pic:spPr>
                    <a:xfrm>
                      <a:off x="0" y="0"/>
                      <a:ext cx="2353945" cy="2240915"/>
                    </a:xfrm>
                    <a:prstGeom prst="rect">
                      <a:avLst/>
                    </a:prstGeom>
                  </pic:spPr>
                </pic:pic>
              </a:graphicData>
            </a:graphic>
          </wp:inline>
        </w:drawing>
      </w:r>
    </w:p>
    <w:p>
      <w:pPr>
        <w:spacing w:line="300" w:lineRule="auto"/>
        <w:jc w:val="center"/>
        <w:rPr>
          <w:rFonts w:ascii="Times New Roman" w:hAnsi="Times New Roman" w:eastAsia="宋体" w:cs="Times New Roman"/>
          <w:color w:val="000000" w:themeColor="text1"/>
          <w:szCs w:val="21"/>
          <w14:textFill>
            <w14:solidFill>
              <w14:schemeClr w14:val="tx1"/>
            </w14:solidFill>
          </w14:textFill>
        </w:rPr>
        <w:sectPr>
          <w:type w:val="continuous"/>
          <w:pgSz w:w="11906" w:h="16838"/>
          <w:pgMar w:top="1440" w:right="1800" w:bottom="1440" w:left="1800" w:header="851" w:footer="992" w:gutter="0"/>
          <w:cols w:space="425" w:num="2"/>
          <w:docGrid w:type="lines" w:linePitch="312" w:charSpace="0"/>
        </w:sectPr>
      </w:pPr>
    </w:p>
    <w:p>
      <w:pPr>
        <w:spacing w:line="300" w:lineRule="auto"/>
        <w:jc w:val="center"/>
        <w:rPr>
          <w:rFonts w:ascii="黑体" w:hAnsi="黑体" w:eastAsia="黑体" w:cs="Times New Roman"/>
          <w:color w:val="000000" w:themeColor="text1"/>
          <w:sz w:val="24"/>
          <w14:textFill>
            <w14:solidFill>
              <w14:schemeClr w14:val="tx1"/>
            </w14:solidFill>
          </w14:textFill>
        </w:rPr>
      </w:pPr>
    </w:p>
    <w:p>
      <w:pPr>
        <w:spacing w:line="300" w:lineRule="auto"/>
        <w:jc w:val="center"/>
        <w:rPr>
          <w:rFonts w:ascii="Times New Roman" w:hAnsi="Times New Roman" w:eastAsia="宋体" w:cs="Times New Roman"/>
          <w:color w:val="000000" w:themeColor="text1"/>
          <w:sz w:val="24"/>
          <w14:textFill>
            <w14:solidFill>
              <w14:schemeClr w14:val="tx1"/>
            </w14:solidFill>
          </w14:textFill>
        </w:rPr>
      </w:pPr>
      <w:r>
        <w:rPr>
          <w:rFonts w:ascii="黑体" w:hAnsi="黑体" w:eastAsia="黑体" w:cs="Times New Roman"/>
          <w:color w:val="000000" w:themeColor="text1"/>
          <w:sz w:val="24"/>
          <w14:textFill>
            <w14:solidFill>
              <w14:schemeClr w14:val="tx1"/>
            </w14:solidFill>
          </w14:textFill>
        </w:rPr>
        <w:t>图3-7</w:t>
      </w:r>
      <w:r>
        <w:rPr>
          <w:rFonts w:ascii="Times New Roman" w:hAnsi="Times New Roman" w:eastAsia="宋体" w:cs="Times New Roman"/>
          <w:color w:val="000000" w:themeColor="text1"/>
          <w:sz w:val="24"/>
          <w14:textFill>
            <w14:solidFill>
              <w14:schemeClr w14:val="tx1"/>
            </w14:solidFill>
          </w14:textFill>
        </w:rPr>
        <w:t xml:space="preserve"> 线上深入理解新知识</w:t>
      </w:r>
    </w:p>
    <w:p>
      <w:pPr>
        <w:spacing w:line="30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第三阶段讲解其他贸易术语及其报价形式，并以案例分析或小测试方式让学生完成自我诊断。教师依据测试结果，了解学生对贸易术语与产品报价的掌握情况，以便对课中教学内容进行及时调整。</w:t>
      </w:r>
    </w:p>
    <w:p>
      <w:pPr>
        <w:spacing w:line="300" w:lineRule="auto"/>
        <w:ind w:firstLine="480" w:firstLineChars="200"/>
        <w:rPr>
          <w:rFonts w:ascii="Times New Roman" w:hAnsi="Times New Roman" w:eastAsia="宋体" w:cs="Times New Roman"/>
          <w:color w:val="000000" w:themeColor="text1"/>
          <w:sz w:val="24"/>
          <w14:textFill>
            <w14:solidFill>
              <w14:schemeClr w14:val="tx1"/>
            </w14:solidFill>
          </w14:textFill>
        </w:rPr>
      </w:pPr>
    </w:p>
    <w:p>
      <w:pPr>
        <w:spacing w:line="300" w:lineRule="auto"/>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drawing>
          <wp:inline distT="0" distB="0" distL="0" distR="0">
            <wp:extent cx="5527040" cy="1652270"/>
            <wp:effectExtent l="0" t="0" r="0" b="0"/>
            <wp:docPr id="12337" name="图片 12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7" name="图片 12337"/>
                    <pic:cNvPicPr>
                      <a:picLocks noChangeAspect="1"/>
                    </pic:cNvPicPr>
                  </pic:nvPicPr>
                  <pic:blipFill>
                    <a:blip r:embed="rId18"/>
                    <a:stretch>
                      <a:fillRect/>
                    </a:stretch>
                  </pic:blipFill>
                  <pic:spPr>
                    <a:xfrm>
                      <a:off x="0" y="0"/>
                      <a:ext cx="5535574" cy="1655052"/>
                    </a:xfrm>
                    <a:prstGeom prst="rect">
                      <a:avLst/>
                    </a:prstGeom>
                  </pic:spPr>
                </pic:pic>
              </a:graphicData>
            </a:graphic>
          </wp:inline>
        </w:drawing>
      </w:r>
      <w:r>
        <w:rPr>
          <w:rFonts w:ascii="Times New Roman" w:hAnsi="Times New Roman" w:eastAsia="宋体" w:cs="Times New Roman"/>
          <w:color w:val="000000" w:themeColor="text1"/>
          <w:szCs w:val="21"/>
          <w14:textFill>
            <w14:solidFill>
              <w14:schemeClr w14:val="tx1"/>
            </w14:solidFill>
          </w14:textFill>
        </w:rPr>
        <w:drawing>
          <wp:inline distT="0" distB="0" distL="0" distR="0">
            <wp:extent cx="5124450" cy="2202180"/>
            <wp:effectExtent l="0" t="0" r="0" b="0"/>
            <wp:docPr id="12338" name="图片 12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8" name="图片 12338"/>
                    <pic:cNvPicPr>
                      <a:picLocks noChangeAspect="1"/>
                    </pic:cNvPicPr>
                  </pic:nvPicPr>
                  <pic:blipFill>
                    <a:blip r:embed="rId19"/>
                    <a:stretch>
                      <a:fillRect/>
                    </a:stretch>
                  </pic:blipFill>
                  <pic:spPr>
                    <a:xfrm>
                      <a:off x="0" y="0"/>
                      <a:ext cx="5152287" cy="2214504"/>
                    </a:xfrm>
                    <a:prstGeom prst="rect">
                      <a:avLst/>
                    </a:prstGeom>
                  </pic:spPr>
                </pic:pic>
              </a:graphicData>
            </a:graphic>
          </wp:inline>
        </w:drawing>
      </w:r>
    </w:p>
    <w:p>
      <w:pPr>
        <w:spacing w:line="300" w:lineRule="auto"/>
        <w:jc w:val="center"/>
        <w:rPr>
          <w:rFonts w:ascii="Times New Roman" w:hAnsi="Times New Roman" w:eastAsia="宋体" w:cs="Times New Roman"/>
          <w:color w:val="000000" w:themeColor="text1"/>
          <w:szCs w:val="21"/>
          <w14:textFill>
            <w14:solidFill>
              <w14:schemeClr w14:val="tx1"/>
            </w14:solidFill>
          </w14:textFill>
        </w:rPr>
      </w:pPr>
    </w:p>
    <w:p>
      <w:pPr>
        <w:spacing w:line="300" w:lineRule="auto"/>
        <w:jc w:val="center"/>
        <w:rPr>
          <w:rFonts w:ascii="Times New Roman" w:hAnsi="Times New Roman" w:eastAsia="宋体" w:cs="Times New Roman"/>
          <w:color w:val="000000" w:themeColor="text1"/>
          <w:sz w:val="24"/>
          <w14:textFill>
            <w14:solidFill>
              <w14:schemeClr w14:val="tx1"/>
            </w14:solidFill>
          </w14:textFill>
        </w:rPr>
      </w:pPr>
      <w:r>
        <w:rPr>
          <w:rFonts w:ascii="黑体" w:hAnsi="黑体" w:eastAsia="黑体" w:cs="Times New Roman"/>
          <w:color w:val="000000" w:themeColor="text1"/>
          <w:sz w:val="24"/>
          <w14:textFill>
            <w14:solidFill>
              <w14:schemeClr w14:val="tx1"/>
            </w14:solidFill>
          </w14:textFill>
        </w:rPr>
        <w:t xml:space="preserve">图3-8 </w:t>
      </w:r>
      <w:r>
        <w:rPr>
          <w:rFonts w:ascii="Times New Roman" w:hAnsi="Times New Roman" w:eastAsia="宋体" w:cs="Times New Roman"/>
          <w:color w:val="000000" w:themeColor="text1"/>
          <w:sz w:val="24"/>
          <w14:textFill>
            <w14:solidFill>
              <w14:schemeClr w14:val="tx1"/>
            </w14:solidFill>
          </w14:textFill>
        </w:rPr>
        <w:t>自主诊断学习问题</w:t>
      </w:r>
    </w:p>
    <w:p>
      <w:pPr>
        <w:pStyle w:val="3"/>
        <w:spacing w:before="0" w:after="0" w:line="300" w:lineRule="auto"/>
        <w:rPr>
          <w:rFonts w:ascii="黑体" w:hAnsi="黑体" w:cs="Times New Roman"/>
          <w:b w:val="0"/>
          <w:color w:val="000000" w:themeColor="text1"/>
          <w:sz w:val="24"/>
          <w14:textFill>
            <w14:solidFill>
              <w14:schemeClr w14:val="tx1"/>
            </w14:solidFill>
          </w14:textFill>
        </w:rPr>
      </w:pPr>
      <w:bookmarkStart w:id="106" w:name="_Toc89440972"/>
      <w:bookmarkStart w:id="107" w:name="_Toc102337693"/>
      <w:bookmarkStart w:id="108" w:name="_Toc89439466"/>
      <w:bookmarkStart w:id="109" w:name="_Toc101980936"/>
      <w:bookmarkStart w:id="110" w:name="_Toc82109030"/>
      <w:bookmarkStart w:id="111" w:name="_Toc85097233"/>
      <w:r>
        <w:rPr>
          <w:rFonts w:ascii="黑体" w:hAnsi="黑体" w:cs="Times New Roman"/>
          <w:b w:val="0"/>
          <w:color w:val="000000" w:themeColor="text1"/>
          <w:sz w:val="24"/>
          <w14:textFill>
            <w14:solidFill>
              <w14:schemeClr w14:val="tx1"/>
            </w14:solidFill>
          </w14:textFill>
        </w:rPr>
        <w:t>3.2.2 课中：知识深度加工</w:t>
      </w:r>
      <w:bookmarkEnd w:id="106"/>
      <w:bookmarkEnd w:id="107"/>
      <w:bookmarkEnd w:id="108"/>
      <w:bookmarkEnd w:id="109"/>
      <w:bookmarkEnd w:id="110"/>
      <w:bookmarkEnd w:id="111"/>
    </w:p>
    <w:p>
      <w:pPr>
        <w:spacing w:line="300" w:lineRule="auto"/>
        <w:ind w:firstLine="480" w:firstLineChars="200"/>
        <w:rPr>
          <w:rFonts w:ascii="Times New Roman" w:hAnsi="Times New Roman" w:eastAsia="宋体" w:cs="Times New Roman"/>
          <w:color w:val="000000" w:themeColor="text1"/>
          <w:sz w:val="24"/>
          <w14:textFill>
            <w14:solidFill>
              <w14:schemeClr w14:val="tx1"/>
            </w14:solidFill>
          </w14:textFill>
        </w:rPr>
        <w:sectPr>
          <w:type w:val="continuous"/>
          <w:pgSz w:w="11906" w:h="16838"/>
          <w:pgMar w:top="1440" w:right="1800" w:bottom="1440" w:left="1800" w:header="851" w:footer="992" w:gutter="0"/>
          <w:cols w:space="425" w:num="1"/>
          <w:docGrid w:type="lines" w:linePitch="312" w:charSpace="0"/>
        </w:sectPr>
      </w:pPr>
      <w:r>
        <w:rPr>
          <w:rFonts w:ascii="Times New Roman" w:hAnsi="Times New Roman" w:eastAsia="宋体" w:cs="Times New Roman"/>
          <w:color w:val="000000" w:themeColor="text1"/>
          <w:sz w:val="24"/>
          <w14:textFill>
            <w14:solidFill>
              <w14:schemeClr w14:val="tx1"/>
            </w14:solidFill>
          </w14:textFill>
        </w:rPr>
        <w:t>针对企业真实案例创设情境，面对面模拟情境，对初期所学的贸易术语知识进行深度加工。针对情境任务设定商务人员、技术人员、财务人员、记录员等角色，要求各小组需根据各自扮演的角色进行谈判。其中涉及贸易术语、报价、运输、保险、支付方式等各方面的知识点。期间各角色各司其职、共同商讨。对抗结束后，教师在与学生交流期间，讲解或纠正知识点，对学生的展示进行诊断性评价，如阐述惯例的含义、惯例与法律的关系以及通则的发展变化和使用方法；纠正学生在术语使用过程中可能或容易出现的一些错误。教师引导学生用批判性思维解决问题，积极断言与论证，并最终</w:t>
      </w:r>
      <w:r>
        <w:rPr>
          <w:rFonts w:hint="eastAsia" w:ascii="Times New Roman" w:hAnsi="Times New Roman" w:eastAsia="宋体" w:cs="Times New Roman"/>
          <w:color w:val="000000" w:themeColor="text1"/>
          <w:sz w:val="24"/>
          <w14:textFill>
            <w14:solidFill>
              <w14:schemeClr w14:val="tx1"/>
            </w14:solidFill>
          </w14:textFill>
        </w:rPr>
        <w:t>给</w:t>
      </w:r>
      <w:r>
        <w:rPr>
          <w:rFonts w:ascii="Times New Roman" w:hAnsi="Times New Roman" w:eastAsia="宋体" w:cs="Times New Roman"/>
          <w:color w:val="000000" w:themeColor="text1"/>
          <w:sz w:val="24"/>
          <w14:textFill>
            <w14:solidFill>
              <w14:schemeClr w14:val="tx1"/>
            </w14:solidFill>
          </w14:textFill>
        </w:rPr>
        <w:t>出评价</w:t>
      </w:r>
      <w:r>
        <w:rPr>
          <w:rFonts w:hint="eastAsia" w:ascii="Times New Roman" w:hAnsi="Times New Roman" w:eastAsia="宋体" w:cs="Times New Roman"/>
          <w:color w:val="000000" w:themeColor="text1"/>
          <w:sz w:val="24"/>
          <w14:textFill>
            <w14:solidFill>
              <w14:schemeClr w14:val="tx1"/>
            </w14:solidFill>
          </w14:textFill>
        </w:rPr>
        <w:t>。</w:t>
      </w:r>
    </w:p>
    <w:p>
      <w:pPr>
        <w:spacing w:line="300" w:lineRule="auto"/>
        <w:rPr>
          <w:rFonts w:ascii="Times New Roman" w:hAnsi="Times New Roman" w:eastAsia="宋体" w:cs="Times New Roman"/>
          <w:color w:val="000000" w:themeColor="text1"/>
          <w:szCs w:val="21"/>
          <w14:textFill>
            <w14:solidFill>
              <w14:schemeClr w14:val="tx1"/>
            </w14:solidFill>
          </w14:textFill>
        </w:rPr>
      </w:pPr>
    </w:p>
    <w:p>
      <w:pPr>
        <w:spacing w:line="300" w:lineRule="auto"/>
        <w:rPr>
          <w:rFonts w:ascii="Times New Roman" w:hAnsi="Times New Roman" w:eastAsia="宋体" w:cs="Times New Roman"/>
          <w:color w:val="000000" w:themeColor="text1"/>
          <w:szCs w:val="21"/>
          <w14:textFill>
            <w14:solidFill>
              <w14:schemeClr w14:val="tx1"/>
            </w14:solidFill>
          </w14:textFill>
        </w:rPr>
      </w:pPr>
    </w:p>
    <w:p>
      <w:pPr>
        <w:spacing w:line="300" w:lineRule="auto"/>
        <w:rPr>
          <w:rFonts w:ascii="Times New Roman" w:hAnsi="Times New Roman" w:eastAsia="宋体" w:cs="Times New Roman"/>
          <w:color w:val="000000" w:themeColor="text1"/>
          <w:szCs w:val="21"/>
          <w14:textFill>
            <w14:solidFill>
              <w14:schemeClr w14:val="tx1"/>
            </w14:solidFill>
          </w14:textFill>
        </w:rPr>
        <w:sectPr>
          <w:type w:val="continuous"/>
          <w:pgSz w:w="11906" w:h="16838"/>
          <w:pgMar w:top="1440" w:right="1080" w:bottom="1440" w:left="1080" w:header="851" w:footer="992" w:gutter="0"/>
          <w:cols w:space="425" w:num="2"/>
          <w:docGrid w:type="lines" w:linePitch="312" w:charSpace="0"/>
        </w:sectPr>
      </w:pPr>
    </w:p>
    <w:p>
      <w:pPr>
        <w:spacing w:line="300" w:lineRule="auto"/>
        <w:rPr>
          <w:rFonts w:ascii="Times New Roman" w:hAnsi="Times New Roman" w:eastAsia="宋体" w:cs="Times New Roman"/>
          <w:color w:val="000000" w:themeColor="text1"/>
          <w:szCs w:val="21"/>
          <w14:textFill>
            <w14:solidFill>
              <w14:schemeClr w14:val="tx1"/>
            </w14:solidFill>
          </w14:textFill>
        </w:rPr>
        <w:sectPr>
          <w:type w:val="continuous"/>
          <w:pgSz w:w="11906" w:h="16838"/>
          <w:pgMar w:top="1440" w:right="1800" w:bottom="1440" w:left="1800" w:header="851" w:footer="992" w:gutter="0"/>
          <w:cols w:space="425" w:num="2"/>
          <w:docGrid w:type="lines" w:linePitch="312" w:charSpace="0"/>
        </w:sectPr>
      </w:pPr>
    </w:p>
    <w:p>
      <w:pPr>
        <w:tabs>
          <w:tab w:val="left" w:pos="3548"/>
        </w:tabs>
        <w:spacing w:line="300" w:lineRule="auto"/>
        <w:rPr>
          <w:rFonts w:ascii="Times New Roman" w:hAnsi="Times New Roman" w:eastAsia="宋体" w:cs="Times New Roman"/>
          <w:color w:val="000000" w:themeColor="text1"/>
          <w:szCs w:val="21"/>
          <w14:textFill>
            <w14:solidFill>
              <w14:schemeClr w14:val="tx1"/>
            </w14:solidFill>
          </w14:textFill>
        </w:rPr>
        <w:sectPr>
          <w:type w:val="continuous"/>
          <w:pgSz w:w="11906" w:h="16838"/>
          <w:pgMar w:top="1440" w:right="1800" w:bottom="1440" w:left="1800" w:header="851" w:footer="992" w:gutter="0"/>
          <w:cols w:space="425" w:num="2"/>
          <w:docGrid w:type="lines" w:linePitch="312" w:charSpace="0"/>
        </w:sectPr>
      </w:pPr>
    </w:p>
    <w:p>
      <w:pPr>
        <w:tabs>
          <w:tab w:val="left" w:pos="3548"/>
        </w:tabs>
        <w:spacing w:line="300" w:lineRule="auto"/>
        <w:jc w:val="center"/>
        <w:rPr>
          <w:rFonts w:ascii="Times New Roman" w:hAnsi="Times New Roman" w:eastAsia="宋体" w:cs="Times New Roman"/>
          <w:color w:val="000000" w:themeColor="text1"/>
          <w:szCs w:val="21"/>
          <w14:textFill>
            <w14:solidFill>
              <w14:schemeClr w14:val="tx1"/>
            </w14:solidFill>
          </w14:textFill>
        </w:rPr>
      </w:pPr>
      <w:r>
        <w:drawing>
          <wp:inline distT="0" distB="0" distL="0" distR="0">
            <wp:extent cx="2591435" cy="1338580"/>
            <wp:effectExtent l="0" t="0" r="0" b="0"/>
            <wp:docPr id="55388" name="图片 55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88" name="图片 5538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591435" cy="1338580"/>
                    </a:xfrm>
                    <a:prstGeom prst="rect">
                      <a:avLst/>
                    </a:prstGeom>
                    <a:noFill/>
                    <a:ln>
                      <a:noFill/>
                    </a:ln>
                  </pic:spPr>
                </pic:pic>
              </a:graphicData>
            </a:graphic>
          </wp:inline>
        </w:drawing>
      </w:r>
    </w:p>
    <w:p>
      <w:pPr>
        <w:tabs>
          <w:tab w:val="left" w:pos="3548"/>
        </w:tabs>
        <w:spacing w:line="300" w:lineRule="auto"/>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drawing>
          <wp:inline distT="0" distB="0" distL="0" distR="0">
            <wp:extent cx="2332990" cy="1344295"/>
            <wp:effectExtent l="0" t="0" r="0" b="8255"/>
            <wp:docPr id="12340" name="图片 12340" descr="一些人站在涂鸦墙前&#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0" name="图片 12340" descr="一些人站在涂鸦墙前&#10;&#10;描述已自动生成"/>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454307" cy="1414526"/>
                    </a:xfrm>
                    <a:prstGeom prst="rect">
                      <a:avLst/>
                    </a:prstGeom>
                    <a:noFill/>
                    <a:ln>
                      <a:noFill/>
                    </a:ln>
                  </pic:spPr>
                </pic:pic>
              </a:graphicData>
            </a:graphic>
          </wp:inline>
        </w:drawing>
      </w:r>
    </w:p>
    <w:p>
      <w:pPr>
        <w:tabs>
          <w:tab w:val="left" w:pos="3548"/>
        </w:tabs>
        <w:spacing w:line="300" w:lineRule="auto"/>
        <w:jc w:val="center"/>
        <w:rPr>
          <w:rFonts w:ascii="Times New Roman" w:hAnsi="Times New Roman" w:eastAsia="宋体" w:cs="Times New Roman"/>
          <w:color w:val="000000" w:themeColor="text1"/>
          <w:sz w:val="18"/>
          <w:szCs w:val="18"/>
          <w14:textFill>
            <w14:solidFill>
              <w14:schemeClr w14:val="tx1"/>
            </w14:solidFill>
          </w14:textFill>
        </w:rPr>
        <w:sectPr>
          <w:type w:val="continuous"/>
          <w:pgSz w:w="11906" w:h="16838"/>
          <w:pgMar w:top="1440" w:right="1800" w:bottom="1440" w:left="1800" w:header="851" w:footer="992" w:gutter="0"/>
          <w:cols w:space="425" w:num="2"/>
          <w:docGrid w:type="lines" w:linePitch="312" w:charSpace="0"/>
        </w:sectPr>
      </w:pPr>
    </w:p>
    <w:p>
      <w:pPr>
        <w:tabs>
          <w:tab w:val="left" w:pos="3548"/>
        </w:tabs>
        <w:spacing w:line="300" w:lineRule="auto"/>
        <w:jc w:val="center"/>
        <w:rPr>
          <w:rFonts w:ascii="Times New Roman" w:hAnsi="Times New Roman" w:eastAsia="宋体" w:cs="Times New Roman"/>
          <w:color w:val="000000" w:themeColor="text1"/>
          <w:sz w:val="18"/>
          <w:szCs w:val="18"/>
          <w14:textFill>
            <w14:solidFill>
              <w14:schemeClr w14:val="tx1"/>
            </w14:solidFill>
          </w14:textFill>
        </w:rPr>
      </w:pPr>
      <w:r>
        <w:drawing>
          <wp:inline distT="0" distB="0" distL="0" distR="0">
            <wp:extent cx="3317240" cy="2487295"/>
            <wp:effectExtent l="0" t="0" r="0" b="8255"/>
            <wp:docPr id="55389" name="图片 55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89" name="图片 5538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3349320" cy="2511386"/>
                    </a:xfrm>
                    <a:prstGeom prst="rect">
                      <a:avLst/>
                    </a:prstGeom>
                    <a:noFill/>
                    <a:ln>
                      <a:noFill/>
                    </a:ln>
                  </pic:spPr>
                </pic:pic>
              </a:graphicData>
            </a:graphic>
          </wp:inline>
        </w:drawing>
      </w:r>
    </w:p>
    <w:p>
      <w:pPr>
        <w:tabs>
          <w:tab w:val="left" w:pos="3548"/>
        </w:tabs>
        <w:spacing w:line="300" w:lineRule="auto"/>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drawing>
          <wp:inline distT="0" distB="0" distL="0" distR="0">
            <wp:extent cx="3330575" cy="2168525"/>
            <wp:effectExtent l="0" t="0" r="0" b="3175"/>
            <wp:docPr id="12341" name="图片 12341" descr="会议室里的人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1" name="图片 12341" descr="会议室里的人们&#10;&#10;描述已自动生成"/>
                    <pic:cNvPicPr>
                      <a:picLocks noChangeAspect="1"/>
                    </pic:cNvPicPr>
                  </pic:nvPicPr>
                  <pic:blipFill>
                    <a:blip r:embed="rId23"/>
                    <a:stretch>
                      <a:fillRect/>
                    </a:stretch>
                  </pic:blipFill>
                  <pic:spPr>
                    <a:xfrm>
                      <a:off x="0" y="0"/>
                      <a:ext cx="3330988" cy="2168777"/>
                    </a:xfrm>
                    <a:prstGeom prst="rect">
                      <a:avLst/>
                    </a:prstGeom>
                    <a:noFill/>
                    <a:ln>
                      <a:noFill/>
                    </a:ln>
                  </pic:spPr>
                </pic:pic>
              </a:graphicData>
            </a:graphic>
          </wp:inline>
        </w:drawing>
      </w:r>
      <w:r>
        <w:rPr>
          <w:rFonts w:ascii="Times New Roman" w:hAnsi="Times New Roman" w:eastAsia="宋体" w:cs="Times New Roman"/>
          <w:color w:val="000000" w:themeColor="text1"/>
          <w:szCs w:val="21"/>
          <w14:textFill>
            <w14:solidFill>
              <w14:schemeClr w14:val="tx1"/>
            </w14:solidFill>
          </w14:textFill>
        </w:rPr>
        <w:drawing>
          <wp:inline distT="0" distB="0" distL="0" distR="0">
            <wp:extent cx="3341370" cy="2004695"/>
            <wp:effectExtent l="0" t="0" r="0" b="1905"/>
            <wp:docPr id="12342" name="图片 12342" descr="一群穿着西装的男人站在桌子上&#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2" name="图片 12342" descr="一群穿着西装的男人站在桌子上&#10;&#10;描述已自动生成"/>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3490755" cy="2094200"/>
                    </a:xfrm>
                    <a:prstGeom prst="rect">
                      <a:avLst/>
                    </a:prstGeom>
                    <a:noFill/>
                    <a:ln>
                      <a:noFill/>
                    </a:ln>
                  </pic:spPr>
                </pic:pic>
              </a:graphicData>
            </a:graphic>
          </wp:inline>
        </w:drawing>
      </w:r>
    </w:p>
    <w:p>
      <w:pPr>
        <w:tabs>
          <w:tab w:val="left" w:pos="3548"/>
        </w:tabs>
        <w:spacing w:line="300" w:lineRule="auto"/>
        <w:jc w:val="center"/>
        <w:rPr>
          <w:rFonts w:ascii="黑体" w:hAnsi="黑体" w:eastAsia="黑体" w:cs="Times New Roman"/>
          <w:color w:val="000000" w:themeColor="text1"/>
          <w:sz w:val="24"/>
          <w14:textFill>
            <w14:solidFill>
              <w14:schemeClr w14:val="tx1"/>
            </w14:solidFill>
          </w14:textFill>
        </w:rPr>
      </w:pPr>
    </w:p>
    <w:p>
      <w:pPr>
        <w:tabs>
          <w:tab w:val="left" w:pos="3548"/>
        </w:tabs>
        <w:spacing w:line="300" w:lineRule="auto"/>
        <w:jc w:val="center"/>
        <w:rPr>
          <w:rFonts w:ascii="Times New Roman" w:hAnsi="Times New Roman" w:eastAsia="宋体" w:cs="Times New Roman"/>
          <w:color w:val="000000" w:themeColor="text1"/>
          <w:sz w:val="24"/>
          <w14:textFill>
            <w14:solidFill>
              <w14:schemeClr w14:val="tx1"/>
            </w14:solidFill>
          </w14:textFill>
        </w:rPr>
      </w:pPr>
      <w:r>
        <w:rPr>
          <w:rFonts w:ascii="黑体" w:hAnsi="黑体" w:eastAsia="黑体" w:cs="Times New Roman"/>
          <w:color w:val="000000" w:themeColor="text1"/>
          <w:sz w:val="24"/>
          <w14:textFill>
            <w14:solidFill>
              <w14:schemeClr w14:val="tx1"/>
            </w14:solidFill>
          </w14:textFill>
        </w:rPr>
        <w:t>图3-9</w:t>
      </w:r>
      <w:r>
        <w:rPr>
          <w:rFonts w:ascii="Times New Roman" w:hAnsi="Times New Roman" w:eastAsia="宋体" w:cs="Times New Roman"/>
          <w:color w:val="000000" w:themeColor="text1"/>
          <w:sz w:val="24"/>
          <w14:textFill>
            <w14:solidFill>
              <w14:schemeClr w14:val="tx1"/>
            </w14:solidFill>
          </w14:textFill>
        </w:rPr>
        <w:t>《国际贸易实务》线下小组合作学习实景</w:t>
      </w:r>
      <w:bookmarkStart w:id="112" w:name="_Toc82109031"/>
    </w:p>
    <w:p>
      <w:pPr>
        <w:tabs>
          <w:tab w:val="left" w:pos="3548"/>
        </w:tabs>
        <w:spacing w:line="300" w:lineRule="auto"/>
        <w:jc w:val="center"/>
        <w:rPr>
          <w:rFonts w:ascii="Times New Roman" w:hAnsi="Times New Roman" w:eastAsia="宋体" w:cs="Times New Roman"/>
          <w:color w:val="000000" w:themeColor="text1"/>
          <w:sz w:val="24"/>
          <w14:textFill>
            <w14:solidFill>
              <w14:schemeClr w14:val="tx1"/>
            </w14:solidFill>
          </w14:textFill>
        </w:rPr>
      </w:pPr>
    </w:p>
    <w:p>
      <w:pPr>
        <w:pStyle w:val="3"/>
        <w:spacing w:before="0" w:after="0" w:line="300" w:lineRule="auto"/>
        <w:rPr>
          <w:rFonts w:ascii="黑体" w:hAnsi="黑体" w:cs="Times New Roman"/>
          <w:b w:val="0"/>
          <w:color w:val="000000" w:themeColor="text1"/>
          <w:sz w:val="24"/>
          <w14:textFill>
            <w14:solidFill>
              <w14:schemeClr w14:val="tx1"/>
            </w14:solidFill>
          </w14:textFill>
        </w:rPr>
      </w:pPr>
      <w:bookmarkStart w:id="113" w:name="_Toc101980937"/>
      <w:bookmarkStart w:id="114" w:name="_Toc89439467"/>
      <w:bookmarkStart w:id="115" w:name="_Toc102337694"/>
      <w:bookmarkStart w:id="116" w:name="_Toc89440973"/>
      <w:r>
        <w:rPr>
          <w:rFonts w:ascii="黑体" w:hAnsi="黑体" w:cs="Times New Roman"/>
          <w:b w:val="0"/>
          <w:color w:val="000000" w:themeColor="text1"/>
          <w:sz w:val="24"/>
          <w14:textFill>
            <w14:solidFill>
              <w14:schemeClr w14:val="tx1"/>
            </w14:solidFill>
          </w14:textFill>
        </w:rPr>
        <w:t>3.2.3 课后：知识拓展迁移</w:t>
      </w:r>
      <w:bookmarkEnd w:id="112"/>
      <w:bookmarkEnd w:id="113"/>
      <w:bookmarkEnd w:id="114"/>
      <w:bookmarkEnd w:id="115"/>
      <w:bookmarkEnd w:id="116"/>
    </w:p>
    <w:p>
      <w:pPr>
        <w:spacing w:line="300" w:lineRule="auto"/>
        <w:ind w:firstLine="480" w:firstLineChars="200"/>
        <w:rPr>
          <w:rFonts w:ascii="Times New Roman" w:hAnsi="Times New Roman" w:eastAsia="宋体" w:cs="Times New Roman"/>
          <w:bCs/>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混合式教学阶段不能仅仅局限于课前与课中阶段，有效衔接课后也是巩固知识，强化学习效果的重要环节，同样是克服遗忘的有效手段。在混合式教学模式下，教师可从线下与线上两个平台综合提升学生课后学习效率。例如要求学生根据情境教学内容以思维导图</w:t>
      </w:r>
      <w:r>
        <w:rPr>
          <w:rFonts w:hint="eastAsia" w:ascii="Times New Roman" w:hAnsi="Times New Roman" w:eastAsia="宋体" w:cs="Times New Roman"/>
          <w:color w:val="000000" w:themeColor="text1"/>
          <w:sz w:val="24"/>
          <w14:textFill>
            <w14:solidFill>
              <w14:schemeClr w14:val="tx1"/>
            </w14:solidFill>
          </w14:textFill>
        </w:rPr>
        <w:t>的</w:t>
      </w:r>
      <w:r>
        <w:rPr>
          <w:rFonts w:ascii="Times New Roman" w:hAnsi="Times New Roman" w:eastAsia="宋体" w:cs="Times New Roman"/>
          <w:color w:val="000000" w:themeColor="text1"/>
          <w:sz w:val="24"/>
          <w14:textFill>
            <w14:solidFill>
              <w14:schemeClr w14:val="tx1"/>
            </w14:solidFill>
          </w14:textFill>
        </w:rPr>
        <w:t>方式总结知识点（见图3-10），并对情境任务进行反思与评估。为拓展学生学习视野，强化学习能力，培养批判性思维与知识运用技能，教师还可向学生推送一些个性化小视频、学习网站或公众号（如阿里巴巴国际站、阿里巴巴外贸圈、福步外贸论坛、海运网等）、学术期刊（如对外经贸实务、国际贸易问题、国际贸易等），并引导学生积极参加学科竞赛（如B2B或B2C的模拟赛、国贸技能大赛、商务谈判大赛等），以赛促学，学以致用</w:t>
      </w:r>
      <w:r>
        <w:rPr>
          <w:rFonts w:ascii="Times New Roman" w:hAnsi="Times New Roman" w:eastAsia="宋体" w:cs="Times New Roman"/>
          <w:bCs/>
          <w:color w:val="000000" w:themeColor="text1"/>
          <w:sz w:val="24"/>
          <w14:textFill>
            <w14:solidFill>
              <w14:schemeClr w14:val="tx1"/>
            </w14:solidFill>
          </w14:textFill>
        </w:rPr>
        <w:t>。</w:t>
      </w:r>
    </w:p>
    <w:p>
      <w:pPr>
        <w:spacing w:line="300" w:lineRule="auto"/>
        <w:jc w:val="center"/>
        <w:rPr>
          <w:rFonts w:ascii="Times New Roman" w:hAnsi="Times New Roman" w:eastAsia="宋体" w:cs="Times New Roman"/>
          <w:color w:val="000000" w:themeColor="text1"/>
          <w:szCs w:val="21"/>
          <w14:textFill>
            <w14:solidFill>
              <w14:schemeClr w14:val="tx1"/>
            </w14:solidFill>
          </w14:textFill>
        </w:rPr>
      </w:pPr>
      <w:r>
        <w:drawing>
          <wp:inline distT="0" distB="0" distL="0" distR="0">
            <wp:extent cx="5274945" cy="2724150"/>
            <wp:effectExtent l="0" t="0" r="1905" b="0"/>
            <wp:docPr id="55392" name="图片 55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92" name="图片 5539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295871" cy="2735285"/>
                    </a:xfrm>
                    <a:prstGeom prst="rect">
                      <a:avLst/>
                    </a:prstGeom>
                    <a:noFill/>
                    <a:ln>
                      <a:noFill/>
                    </a:ln>
                  </pic:spPr>
                </pic:pic>
              </a:graphicData>
            </a:graphic>
          </wp:inline>
        </w:drawing>
      </w:r>
    </w:p>
    <w:p>
      <w:pPr>
        <w:spacing w:line="300" w:lineRule="auto"/>
        <w:jc w:val="center"/>
        <w:rPr>
          <w:rFonts w:ascii="黑体" w:hAnsi="黑体" w:eastAsia="黑体" w:cs="Times New Roman"/>
          <w:color w:val="000000" w:themeColor="text1"/>
          <w:sz w:val="24"/>
          <w14:textFill>
            <w14:solidFill>
              <w14:schemeClr w14:val="tx1"/>
            </w14:solidFill>
          </w14:textFill>
        </w:rPr>
      </w:pPr>
    </w:p>
    <w:p>
      <w:pPr>
        <w:spacing w:line="300" w:lineRule="auto"/>
        <w:jc w:val="center"/>
        <w:rPr>
          <w:rFonts w:ascii="Times New Roman" w:hAnsi="Times New Roman" w:eastAsia="宋体" w:cs="Times New Roman"/>
          <w:color w:val="000000" w:themeColor="text1"/>
          <w:sz w:val="24"/>
          <w14:textFill>
            <w14:solidFill>
              <w14:schemeClr w14:val="tx1"/>
            </w14:solidFill>
          </w14:textFill>
        </w:rPr>
      </w:pPr>
      <w:r>
        <w:rPr>
          <w:rFonts w:ascii="黑体" w:hAnsi="黑体" w:eastAsia="黑体" w:cs="Times New Roman"/>
          <w:color w:val="000000" w:themeColor="text1"/>
          <w:sz w:val="24"/>
          <w14:textFill>
            <w14:solidFill>
              <w14:schemeClr w14:val="tx1"/>
            </w14:solidFill>
          </w14:textFill>
        </w:rPr>
        <w:t>图3-10</w:t>
      </w:r>
      <w:r>
        <w:rPr>
          <w:rFonts w:ascii="Times New Roman" w:hAnsi="Times New Roman" w:eastAsia="宋体" w:cs="Times New Roman"/>
          <w:color w:val="000000" w:themeColor="text1"/>
          <w:sz w:val="24"/>
          <w14:textFill>
            <w14:solidFill>
              <w14:schemeClr w14:val="tx1"/>
            </w14:solidFill>
          </w14:textFill>
        </w:rPr>
        <w:t xml:space="preserve"> 情境教学后思维导图总结</w:t>
      </w:r>
    </w:p>
    <w:p>
      <w:pPr>
        <w:spacing w:line="300" w:lineRule="auto"/>
        <w:jc w:val="center"/>
        <w:rPr>
          <w:rFonts w:ascii="Times New Roman" w:hAnsi="Times New Roman" w:eastAsia="宋体" w:cs="Times New Roman"/>
          <w:color w:val="000000" w:themeColor="text1"/>
          <w:sz w:val="24"/>
          <w14:textFill>
            <w14:solidFill>
              <w14:schemeClr w14:val="tx1"/>
            </w14:solidFill>
          </w14:textFill>
        </w:rPr>
      </w:pPr>
    </w:p>
    <w:p>
      <w:pPr>
        <w:pStyle w:val="3"/>
        <w:spacing w:before="0" w:after="0" w:line="300" w:lineRule="auto"/>
        <w:rPr>
          <w:rFonts w:ascii="黑体" w:hAnsi="黑体" w:cs="Times New Roman"/>
          <w:b w:val="0"/>
          <w:color w:val="000000" w:themeColor="text1"/>
          <w:sz w:val="24"/>
          <w14:textFill>
            <w14:solidFill>
              <w14:schemeClr w14:val="tx1"/>
            </w14:solidFill>
          </w14:textFill>
        </w:rPr>
      </w:pPr>
      <w:bookmarkStart w:id="117" w:name="_Toc82109032"/>
      <w:bookmarkStart w:id="118" w:name="_Toc89439468"/>
      <w:bookmarkStart w:id="119" w:name="_Toc101980938"/>
      <w:bookmarkStart w:id="120" w:name="_Toc102337695"/>
      <w:bookmarkStart w:id="121" w:name="_Toc89440974"/>
      <w:bookmarkStart w:id="122" w:name="_Toc85097234"/>
      <w:r>
        <w:rPr>
          <w:rFonts w:ascii="黑体" w:hAnsi="黑体" w:cs="Times New Roman"/>
          <w:b w:val="0"/>
          <w:color w:val="000000" w:themeColor="text1"/>
          <w:sz w:val="24"/>
          <w14:textFill>
            <w14:solidFill>
              <w14:schemeClr w14:val="tx1"/>
            </w14:solidFill>
          </w14:textFill>
        </w:rPr>
        <w:t>3.2.4 课程评价</w:t>
      </w:r>
      <w:bookmarkEnd w:id="117"/>
      <w:bookmarkEnd w:id="118"/>
      <w:bookmarkEnd w:id="119"/>
      <w:bookmarkEnd w:id="120"/>
      <w:bookmarkEnd w:id="121"/>
      <w:bookmarkEnd w:id="122"/>
    </w:p>
    <w:p>
      <w:pPr>
        <w:spacing w:line="30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在情境任务实施后，需对个人表现进行打分，科学反馈并评价学习进程与实际效果。为使情境教学中表现性评价不具随意性，且考虑到深度学习导向，从认知领域（专业知识掌握、问题解决、资料整理等）、人际领域（团队合作、有效沟通等）、个人领域（语言表达、独立思考、资料查找收集等）三个维度制定参考评价标准，探究学习者的学习效果，评价主体由教师、学生自己、组内、组间等四个部分组成。另外，根据情境任务的重要性，可对不同情境任务设置不同的权重，也可对不同情境任务每个评价标准设置不同分值，整个情境任务表现性评价得分由分情境任务得分的算术平均数或加权算术平均数得到。最终在总结评价过程中进一步完善情境与项目设置，并进行深化。在此过程中，引导学生用批判性思维解决问题，积极断言与论证。评价维度如图3-11、3-12所示，从认知领域、人际领域、个人领域三个维度制定参考评价标准，评价主体由教师、学生自己、组内、组间等四个部分组成。对于整个课程而言，表现性评价仅是其中一个环节，其最终考核与评价是由表现性评价（40%）、课前慕课学习（20%）和期终教学考试（40%）综合构成，具体评价见图3-13。</w:t>
      </w:r>
    </w:p>
    <w:p>
      <w:pPr>
        <w:spacing w:line="300" w:lineRule="auto"/>
        <w:ind w:firstLine="480" w:firstLineChars="200"/>
        <w:rPr>
          <w:rFonts w:ascii="Times New Roman" w:hAnsi="Times New Roman" w:eastAsia="宋体" w:cs="Times New Roman"/>
          <w:color w:val="000000" w:themeColor="text1"/>
          <w:sz w:val="24"/>
          <w14:textFill>
            <w14:solidFill>
              <w14:schemeClr w14:val="tx1"/>
            </w14:solidFill>
          </w14:textFill>
        </w:rPr>
      </w:pPr>
    </w:p>
    <w:p>
      <w:pPr>
        <w:tabs>
          <w:tab w:val="left" w:pos="3548"/>
        </w:tabs>
        <w:spacing w:line="300" w:lineRule="auto"/>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drawing>
          <wp:inline distT="0" distB="0" distL="0" distR="0">
            <wp:extent cx="3757295" cy="1889760"/>
            <wp:effectExtent l="0" t="0" r="0" b="0"/>
            <wp:docPr id="12344" name="图片 1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4" name="图片 12344"/>
                    <pic:cNvPicPr>
                      <a:picLocks noChangeAspect="1"/>
                    </pic:cNvPicPr>
                  </pic:nvPicPr>
                  <pic:blipFill>
                    <a:blip r:embed="rId26"/>
                    <a:stretch>
                      <a:fillRect/>
                    </a:stretch>
                  </pic:blipFill>
                  <pic:spPr>
                    <a:xfrm>
                      <a:off x="0" y="0"/>
                      <a:ext cx="3794559" cy="1908245"/>
                    </a:xfrm>
                    <a:prstGeom prst="rect">
                      <a:avLst/>
                    </a:prstGeom>
                  </pic:spPr>
                </pic:pic>
              </a:graphicData>
            </a:graphic>
          </wp:inline>
        </w:drawing>
      </w:r>
    </w:p>
    <w:p>
      <w:pPr>
        <w:tabs>
          <w:tab w:val="left" w:pos="3548"/>
        </w:tabs>
        <w:spacing w:line="300" w:lineRule="auto"/>
        <w:jc w:val="center"/>
        <w:rPr>
          <w:rFonts w:ascii="黑体" w:hAnsi="黑体" w:eastAsia="黑体" w:cs="Times New Roman"/>
          <w:color w:val="000000" w:themeColor="text1"/>
          <w:sz w:val="24"/>
          <w14:textFill>
            <w14:solidFill>
              <w14:schemeClr w14:val="tx1"/>
            </w14:solidFill>
          </w14:textFill>
        </w:rPr>
      </w:pPr>
    </w:p>
    <w:p>
      <w:pPr>
        <w:tabs>
          <w:tab w:val="left" w:pos="3548"/>
        </w:tabs>
        <w:spacing w:line="300" w:lineRule="auto"/>
        <w:jc w:val="center"/>
        <w:rPr>
          <w:rFonts w:ascii="Times New Roman" w:hAnsi="Times New Roman" w:eastAsia="宋体" w:cs="Times New Roman"/>
          <w:color w:val="000000" w:themeColor="text1"/>
          <w:sz w:val="24"/>
          <w14:textFill>
            <w14:solidFill>
              <w14:schemeClr w14:val="tx1"/>
            </w14:solidFill>
          </w14:textFill>
        </w:rPr>
      </w:pPr>
      <w:r>
        <w:rPr>
          <w:rFonts w:ascii="黑体" w:hAnsi="黑体" w:eastAsia="黑体" w:cs="Times New Roman"/>
          <w:color w:val="000000" w:themeColor="text1"/>
          <w:sz w:val="24"/>
          <w14:textFill>
            <w14:solidFill>
              <w14:schemeClr w14:val="tx1"/>
            </w14:solidFill>
          </w14:textFill>
        </w:rPr>
        <w:t xml:space="preserve">图3-11 </w:t>
      </w:r>
      <w:r>
        <w:rPr>
          <w:rFonts w:ascii="Times New Roman" w:hAnsi="Times New Roman" w:eastAsia="宋体" w:cs="Times New Roman"/>
          <w:color w:val="000000" w:themeColor="text1"/>
          <w:sz w:val="24"/>
          <w14:textFill>
            <w14:solidFill>
              <w14:schemeClr w14:val="tx1"/>
            </w14:solidFill>
          </w14:textFill>
        </w:rPr>
        <w:t>《国际贸易实务》线上情境教学评价维度</w:t>
      </w:r>
    </w:p>
    <w:p>
      <w:pPr>
        <w:tabs>
          <w:tab w:val="left" w:pos="3548"/>
        </w:tabs>
        <w:spacing w:line="300" w:lineRule="auto"/>
        <w:jc w:val="center"/>
        <w:rPr>
          <w:rFonts w:ascii="Times New Roman" w:hAnsi="Times New Roman" w:eastAsia="宋体" w:cs="Times New Roman"/>
          <w:color w:val="000000" w:themeColor="text1"/>
          <w:sz w:val="24"/>
          <w14:textFill>
            <w14:solidFill>
              <w14:schemeClr w14:val="tx1"/>
            </w14:solidFill>
          </w14:textFill>
        </w:rPr>
      </w:pPr>
    </w:p>
    <w:p>
      <w:pPr>
        <w:tabs>
          <w:tab w:val="left" w:pos="3548"/>
        </w:tabs>
        <w:spacing w:line="300" w:lineRule="auto"/>
        <w:jc w:val="center"/>
        <w:rPr>
          <w:rFonts w:ascii="Times New Roman" w:hAnsi="Times New Roman" w:eastAsia="宋体" w:cs="Times New Roman"/>
          <w:color w:val="000000" w:themeColor="text1"/>
          <w:szCs w:val="21"/>
          <w14:textFill>
            <w14:solidFill>
              <w14:schemeClr w14:val="tx1"/>
            </w14:solidFill>
          </w14:textFill>
        </w:rPr>
      </w:pPr>
    </w:p>
    <w:p>
      <w:pPr>
        <w:tabs>
          <w:tab w:val="left" w:pos="3548"/>
        </w:tabs>
        <w:spacing w:line="300" w:lineRule="auto"/>
        <w:jc w:val="center"/>
        <w:rPr>
          <w:rFonts w:ascii="Times New Roman" w:hAnsi="Times New Roman" w:eastAsia="宋体" w:cs="Times New Roman"/>
          <w:color w:val="000000" w:themeColor="text1"/>
          <w:szCs w:val="21"/>
          <w14:textFill>
            <w14:solidFill>
              <w14:schemeClr w14:val="tx1"/>
            </w14:solidFill>
          </w14:textFill>
        </w:rPr>
        <w:sectPr>
          <w:type w:val="continuous"/>
          <w:pgSz w:w="11906" w:h="16838"/>
          <w:pgMar w:top="1440" w:right="1800" w:bottom="1440" w:left="1800" w:header="851" w:footer="992" w:gutter="0"/>
          <w:cols w:space="425" w:num="1"/>
          <w:docGrid w:type="lines" w:linePitch="312" w:charSpace="0"/>
        </w:sectPr>
      </w:pPr>
    </w:p>
    <w:p>
      <w:pPr>
        <w:tabs>
          <w:tab w:val="left" w:pos="3548"/>
        </w:tabs>
        <w:spacing w:line="300" w:lineRule="auto"/>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drawing>
          <wp:inline distT="0" distB="0" distL="0" distR="0">
            <wp:extent cx="1322070" cy="2526030"/>
            <wp:effectExtent l="0" t="0" r="0" b="1270"/>
            <wp:docPr id="12345" name="图片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5" name="图片 12345"/>
                    <pic:cNvPicPr>
                      <a:picLocks noChangeAspect="1"/>
                    </pic:cNvPicPr>
                  </pic:nvPicPr>
                  <pic:blipFill>
                    <a:blip r:embed="rId27"/>
                    <a:stretch>
                      <a:fillRect/>
                    </a:stretch>
                  </pic:blipFill>
                  <pic:spPr>
                    <a:xfrm>
                      <a:off x="0" y="0"/>
                      <a:ext cx="1355044" cy="2589104"/>
                    </a:xfrm>
                    <a:prstGeom prst="rect">
                      <a:avLst/>
                    </a:prstGeom>
                  </pic:spPr>
                </pic:pic>
              </a:graphicData>
            </a:graphic>
          </wp:inline>
        </w:drawing>
      </w:r>
    </w:p>
    <w:p>
      <w:pPr>
        <w:tabs>
          <w:tab w:val="left" w:pos="3548"/>
        </w:tabs>
        <w:spacing w:line="300" w:lineRule="auto"/>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drawing>
          <wp:inline distT="0" distB="0" distL="0" distR="0">
            <wp:extent cx="1188085" cy="2534285"/>
            <wp:effectExtent l="0" t="0" r="5715" b="5715"/>
            <wp:docPr id="12346" name="图片 12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6" name="图片 12346"/>
                    <pic:cNvPicPr>
                      <a:picLocks noChangeAspect="1"/>
                    </pic:cNvPicPr>
                  </pic:nvPicPr>
                  <pic:blipFill>
                    <a:blip r:embed="rId28"/>
                    <a:stretch>
                      <a:fillRect/>
                    </a:stretch>
                  </pic:blipFill>
                  <pic:spPr>
                    <a:xfrm>
                      <a:off x="0" y="0"/>
                      <a:ext cx="1217137" cy="2596760"/>
                    </a:xfrm>
                    <a:prstGeom prst="rect">
                      <a:avLst/>
                    </a:prstGeom>
                  </pic:spPr>
                </pic:pic>
              </a:graphicData>
            </a:graphic>
          </wp:inline>
        </w:drawing>
      </w:r>
      <w:r>
        <w:rPr>
          <w:rFonts w:ascii="Times New Roman" w:hAnsi="Times New Roman" w:eastAsia="宋体" w:cs="Times New Roman"/>
          <w:color w:val="000000" w:themeColor="text1"/>
          <w:szCs w:val="21"/>
          <w14:textFill>
            <w14:solidFill>
              <w14:schemeClr w14:val="tx1"/>
            </w14:solidFill>
          </w14:textFill>
        </w:rPr>
        <w:drawing>
          <wp:inline distT="0" distB="0" distL="0" distR="0">
            <wp:extent cx="1250315" cy="773430"/>
            <wp:effectExtent l="0" t="0" r="0" b="1270"/>
            <wp:docPr id="12347" name="图片 12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7" name="图片 12347"/>
                    <pic:cNvPicPr>
                      <a:picLocks noChangeAspect="1"/>
                    </pic:cNvPicPr>
                  </pic:nvPicPr>
                  <pic:blipFill>
                    <a:blip r:embed="rId29"/>
                    <a:stretch>
                      <a:fillRect/>
                    </a:stretch>
                  </pic:blipFill>
                  <pic:spPr>
                    <a:xfrm>
                      <a:off x="0" y="0"/>
                      <a:ext cx="1286621" cy="795716"/>
                    </a:xfrm>
                    <a:prstGeom prst="rect">
                      <a:avLst/>
                    </a:prstGeom>
                  </pic:spPr>
                </pic:pic>
              </a:graphicData>
            </a:graphic>
          </wp:inline>
        </w:drawing>
      </w:r>
    </w:p>
    <w:p>
      <w:pPr>
        <w:tabs>
          <w:tab w:val="left" w:pos="3548"/>
        </w:tabs>
        <w:spacing w:line="300" w:lineRule="auto"/>
        <w:jc w:val="center"/>
        <w:rPr>
          <w:rFonts w:ascii="Times New Roman" w:hAnsi="Times New Roman" w:eastAsia="宋体" w:cs="Times New Roman"/>
          <w:color w:val="000000" w:themeColor="text1"/>
          <w:szCs w:val="21"/>
          <w14:textFill>
            <w14:solidFill>
              <w14:schemeClr w14:val="tx1"/>
            </w14:solidFill>
          </w14:textFill>
        </w:rPr>
        <w:sectPr>
          <w:type w:val="continuous"/>
          <w:pgSz w:w="11906" w:h="16838"/>
          <w:pgMar w:top="1440" w:right="1800" w:bottom="1440" w:left="1800" w:header="851" w:footer="992" w:gutter="0"/>
          <w:cols w:space="425" w:num="3"/>
          <w:docGrid w:type="lines" w:linePitch="312" w:charSpace="0"/>
        </w:sectPr>
      </w:pPr>
    </w:p>
    <w:p>
      <w:pPr>
        <w:tabs>
          <w:tab w:val="left" w:pos="3548"/>
        </w:tabs>
        <w:spacing w:line="300" w:lineRule="auto"/>
        <w:jc w:val="center"/>
        <w:rPr>
          <w:rFonts w:ascii="黑体" w:hAnsi="黑体" w:eastAsia="黑体" w:cs="Times New Roman"/>
          <w:color w:val="000000" w:themeColor="text1"/>
          <w:sz w:val="24"/>
          <w14:textFill>
            <w14:solidFill>
              <w14:schemeClr w14:val="tx1"/>
            </w14:solidFill>
          </w14:textFill>
        </w:rPr>
      </w:pPr>
    </w:p>
    <w:p>
      <w:pPr>
        <w:tabs>
          <w:tab w:val="left" w:pos="3548"/>
        </w:tabs>
        <w:spacing w:line="300" w:lineRule="auto"/>
        <w:jc w:val="center"/>
        <w:rPr>
          <w:rFonts w:ascii="Times New Roman" w:hAnsi="Times New Roman" w:eastAsia="宋体" w:cs="Times New Roman"/>
          <w:color w:val="000000" w:themeColor="text1"/>
          <w:sz w:val="24"/>
          <w14:textFill>
            <w14:solidFill>
              <w14:schemeClr w14:val="tx1"/>
            </w14:solidFill>
          </w14:textFill>
        </w:rPr>
      </w:pPr>
      <w:r>
        <w:rPr>
          <w:rFonts w:ascii="黑体" w:hAnsi="黑体" w:eastAsia="黑体" w:cs="Times New Roman"/>
          <w:color w:val="000000" w:themeColor="text1"/>
          <w:sz w:val="24"/>
          <w14:textFill>
            <w14:solidFill>
              <w14:schemeClr w14:val="tx1"/>
            </w14:solidFill>
          </w14:textFill>
        </w:rPr>
        <w:t>图3-12</w:t>
      </w:r>
      <w:r>
        <w:rPr>
          <w:rFonts w:ascii="Times New Roman" w:hAnsi="Times New Roman" w:eastAsia="宋体" w:cs="Times New Roman"/>
          <w:color w:val="000000" w:themeColor="text1"/>
          <w:sz w:val="24"/>
          <w14:textFill>
            <w14:solidFill>
              <w14:schemeClr w14:val="tx1"/>
            </w14:solidFill>
          </w14:textFill>
        </w:rPr>
        <w:t xml:space="preserve"> 学生手机端爱课堂评价界面</w:t>
      </w:r>
    </w:p>
    <w:p>
      <w:pPr>
        <w:tabs>
          <w:tab w:val="left" w:pos="3548"/>
        </w:tabs>
        <w:spacing w:line="300" w:lineRule="auto"/>
        <w:jc w:val="center"/>
        <w:rPr>
          <w:rFonts w:ascii="Times New Roman" w:hAnsi="Times New Roman" w:eastAsia="宋体" w:cs="Times New Roman"/>
          <w:color w:val="000000" w:themeColor="text1"/>
          <w:sz w:val="24"/>
          <w14:textFill>
            <w14:solidFill>
              <w14:schemeClr w14:val="tx1"/>
            </w14:solidFill>
          </w14:textFill>
        </w:rPr>
      </w:pPr>
    </w:p>
    <w:p>
      <w:pPr>
        <w:spacing w:line="300" w:lineRule="auto"/>
        <w:jc w:val="center"/>
        <w:rPr>
          <w:rFonts w:ascii="Times New Roman" w:hAnsi="Times New Roman" w:eastAsia="宋体" w:cs="Times New Roman"/>
          <w:color w:val="000000" w:themeColor="text1"/>
          <w:szCs w:val="21"/>
          <w14:textFill>
            <w14:solidFill>
              <w14:schemeClr w14:val="tx1"/>
            </w14:solidFill>
          </w14:textFill>
        </w:rPr>
      </w:pPr>
    </w:p>
    <w:p>
      <w:pPr>
        <w:spacing w:line="300" w:lineRule="auto"/>
        <w:jc w:val="center"/>
        <w:rPr>
          <w:rFonts w:ascii="Times New Roman" w:hAnsi="Times New Roman" w:eastAsia="宋体" w:cs="Times New Roman"/>
          <w:color w:val="000000" w:themeColor="text1"/>
          <w:szCs w:val="21"/>
          <w14:textFill>
            <w14:solidFill>
              <w14:schemeClr w14:val="tx1"/>
            </w14:solidFill>
          </w14:textFill>
        </w:rPr>
      </w:pPr>
    </w:p>
    <w:p>
      <w:pPr>
        <w:spacing w:line="300" w:lineRule="auto"/>
        <w:jc w:val="center"/>
        <w:rPr>
          <w:rFonts w:ascii="Times New Roman" w:hAnsi="Times New Roman" w:eastAsia="宋体" w:cs="Times New Roman"/>
          <w:color w:val="000000" w:themeColor="text1"/>
          <w:szCs w:val="21"/>
          <w14:textFill>
            <w14:solidFill>
              <w14:schemeClr w14:val="tx1"/>
            </w14:solidFill>
          </w14:textFill>
        </w:rPr>
      </w:pPr>
    </w:p>
    <w:p>
      <w:pPr>
        <w:spacing w:line="300" w:lineRule="auto"/>
        <w:jc w:val="center"/>
        <w:rPr>
          <w:rFonts w:ascii="Times New Roman" w:hAnsi="Times New Roman" w:eastAsia="宋体" w:cs="Times New Roman"/>
          <w:color w:val="000000" w:themeColor="text1"/>
          <w:szCs w:val="21"/>
          <w14:textFill>
            <w14:solidFill>
              <w14:schemeClr w14:val="tx1"/>
            </w14:solidFill>
          </w14:textFill>
        </w:rPr>
      </w:pPr>
    </w:p>
    <w:p>
      <w:pPr>
        <w:spacing w:line="300" w:lineRule="auto"/>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pict>
          <v:shape id="_x0000_i1027" o:spt="75" type="#_x0000_t75" style="height:294.25pt;width:386.9pt;" filled="f" coordsize="21600,21600">
            <v:path/>
            <v:fill on="f" focussize="0,0"/>
            <v:stroke/>
            <v:imagedata r:id="rId30" o:title=""/>
            <o:lock v:ext="edit" aspectratio="t"/>
            <w10:wrap type="none"/>
            <w10:anchorlock/>
          </v:shape>
        </w:pict>
      </w:r>
    </w:p>
    <w:p>
      <w:pPr>
        <w:spacing w:line="300" w:lineRule="auto"/>
        <w:ind w:firstLine="480" w:firstLineChars="200"/>
        <w:jc w:val="center"/>
        <w:rPr>
          <w:rFonts w:ascii="黑体" w:hAnsi="黑体" w:eastAsia="黑体" w:cs="Times New Roman"/>
          <w:color w:val="000000" w:themeColor="text1"/>
          <w:sz w:val="24"/>
          <w14:textFill>
            <w14:solidFill>
              <w14:schemeClr w14:val="tx1"/>
            </w14:solidFill>
          </w14:textFill>
        </w:rPr>
      </w:pPr>
    </w:p>
    <w:p>
      <w:pPr>
        <w:spacing w:line="300" w:lineRule="auto"/>
        <w:ind w:firstLine="480" w:firstLineChars="200"/>
        <w:jc w:val="center"/>
        <w:rPr>
          <w:rFonts w:ascii="Times New Roman" w:hAnsi="Times New Roman" w:eastAsia="宋体" w:cs="Times New Roman"/>
          <w:color w:val="000000" w:themeColor="text1"/>
          <w:sz w:val="24"/>
          <w14:textFill>
            <w14:solidFill>
              <w14:schemeClr w14:val="tx1"/>
            </w14:solidFill>
          </w14:textFill>
        </w:rPr>
      </w:pPr>
      <w:r>
        <w:rPr>
          <w:rFonts w:ascii="黑体" w:hAnsi="黑体" w:eastAsia="黑体" w:cs="Times New Roman"/>
          <w:color w:val="000000" w:themeColor="text1"/>
          <w:sz w:val="24"/>
          <w14:textFill>
            <w14:solidFill>
              <w14:schemeClr w14:val="tx1"/>
            </w14:solidFill>
          </w14:textFill>
        </w:rPr>
        <w:t xml:space="preserve">图3-13 </w:t>
      </w:r>
      <w:r>
        <w:rPr>
          <w:rFonts w:ascii="Times New Roman" w:hAnsi="Times New Roman" w:eastAsia="宋体" w:cs="Times New Roman"/>
          <w:color w:val="000000" w:themeColor="text1"/>
          <w:sz w:val="24"/>
          <w14:textFill>
            <w14:solidFill>
              <w14:schemeClr w14:val="tx1"/>
            </w14:solidFill>
          </w14:textFill>
        </w:rPr>
        <w:t>《国际贸易实务》混合式教学考核与评价体系</w:t>
      </w:r>
    </w:p>
    <w:p>
      <w:pPr>
        <w:spacing w:line="300" w:lineRule="auto"/>
        <w:rPr>
          <w:rFonts w:ascii="Times New Roman" w:hAnsi="Times New Roman" w:eastAsia="宋体" w:cs="Times New Roman"/>
          <w:color w:val="000000" w:themeColor="text1"/>
          <w:sz w:val="24"/>
          <w14:textFill>
            <w14:solidFill>
              <w14:schemeClr w14:val="tx1"/>
            </w14:solidFill>
          </w14:textFill>
        </w:rPr>
      </w:pPr>
    </w:p>
    <w:p>
      <w:pPr>
        <w:tabs>
          <w:tab w:val="left" w:pos="312"/>
        </w:tabs>
        <w:spacing w:before="312" w:beforeLines="100" w:after="312" w:afterLines="100" w:line="300" w:lineRule="auto"/>
        <w:outlineLvl w:val="0"/>
        <w:rPr>
          <w:rFonts w:ascii="黑体" w:hAnsi="黑体" w:eastAsia="黑体" w:cs="Times New Roman"/>
          <w:bCs/>
          <w:sz w:val="32"/>
          <w:szCs w:val="32"/>
        </w:rPr>
      </w:pPr>
      <w:bookmarkStart w:id="123" w:name="_Toc89439469"/>
      <w:bookmarkStart w:id="124" w:name="_Toc102337696"/>
      <w:bookmarkStart w:id="125" w:name="_Toc85097235"/>
      <w:bookmarkStart w:id="126" w:name="_Toc101980939"/>
      <w:bookmarkStart w:id="127" w:name="_Toc89440975"/>
      <w:bookmarkStart w:id="128" w:name="_Toc82109033"/>
      <w:r>
        <w:rPr>
          <w:rFonts w:ascii="黑体" w:hAnsi="黑体" w:eastAsia="黑体" w:cs="Times New Roman"/>
          <w:bCs/>
          <w:sz w:val="32"/>
          <w:szCs w:val="32"/>
        </w:rPr>
        <w:t>4 课程教学评价</w:t>
      </w:r>
      <w:bookmarkEnd w:id="123"/>
      <w:bookmarkEnd w:id="124"/>
      <w:bookmarkEnd w:id="125"/>
      <w:bookmarkEnd w:id="126"/>
      <w:bookmarkEnd w:id="127"/>
      <w:bookmarkEnd w:id="128"/>
    </w:p>
    <w:p>
      <w:pPr>
        <w:spacing w:line="30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国际贸易实务》课程期末试卷为标准化含主观与客观题的百分制试卷，试卷内容涵盖课程大纲所列的教学内容。考核时设置一定比例的英文试题，不仅考查学生的外贸专业英语知识，一定程度上还考查了外语语言学习与表达能力。</w:t>
      </w:r>
    </w:p>
    <w:p>
      <w:pPr>
        <w:pStyle w:val="3"/>
        <w:spacing w:before="0" w:after="0" w:line="300" w:lineRule="auto"/>
        <w:rPr>
          <w:rFonts w:ascii="楷体" w:hAnsi="楷体" w:eastAsia="楷体" w:cs="Times New Roman"/>
          <w:sz w:val="28"/>
          <w:szCs w:val="21"/>
        </w:rPr>
      </w:pPr>
      <w:bookmarkStart w:id="129" w:name="_Toc102337697"/>
      <w:bookmarkStart w:id="130" w:name="_Toc89439470"/>
      <w:bookmarkStart w:id="131" w:name="_Toc101980940"/>
      <w:bookmarkStart w:id="132" w:name="_Toc89440976"/>
      <w:bookmarkStart w:id="133" w:name="_Toc82109034"/>
      <w:bookmarkStart w:id="134" w:name="_Toc85097236"/>
      <w:r>
        <w:rPr>
          <w:rFonts w:ascii="楷体" w:hAnsi="楷体" w:eastAsia="楷体" w:cs="Times New Roman"/>
          <w:sz w:val="28"/>
          <w:szCs w:val="21"/>
        </w:rPr>
        <w:t>4.1 学生反馈情况</w:t>
      </w:r>
      <w:bookmarkEnd w:id="129"/>
      <w:bookmarkEnd w:id="130"/>
      <w:bookmarkEnd w:id="131"/>
      <w:bookmarkEnd w:id="132"/>
      <w:bookmarkEnd w:id="133"/>
      <w:bookmarkEnd w:id="134"/>
    </w:p>
    <w:p>
      <w:pPr>
        <w:pStyle w:val="3"/>
        <w:spacing w:before="0" w:after="0" w:line="300" w:lineRule="auto"/>
        <w:rPr>
          <w:rFonts w:ascii="黑体" w:hAnsi="黑体" w:cs="Times New Roman"/>
          <w:b w:val="0"/>
          <w:color w:val="000000" w:themeColor="text1"/>
          <w:sz w:val="24"/>
          <w14:textFill>
            <w14:solidFill>
              <w14:schemeClr w14:val="tx1"/>
            </w14:solidFill>
          </w14:textFill>
        </w:rPr>
      </w:pPr>
      <w:bookmarkStart w:id="135" w:name="_Toc82109035"/>
      <w:bookmarkStart w:id="136" w:name="_Toc101980941"/>
      <w:bookmarkStart w:id="137" w:name="_Toc85097237"/>
      <w:bookmarkStart w:id="138" w:name="_Toc102337698"/>
      <w:bookmarkStart w:id="139" w:name="_Toc89439471"/>
      <w:bookmarkStart w:id="140" w:name="_Toc89440977"/>
      <w:r>
        <w:rPr>
          <w:rFonts w:ascii="黑体" w:hAnsi="黑体" w:cs="Times New Roman"/>
          <w:b w:val="0"/>
          <w:color w:val="000000" w:themeColor="text1"/>
          <w:sz w:val="24"/>
          <w14:textFill>
            <w14:solidFill>
              <w14:schemeClr w14:val="tx1"/>
            </w14:solidFill>
          </w14:textFill>
        </w:rPr>
        <w:t>4.1.1 期末成绩分析</w:t>
      </w:r>
      <w:bookmarkEnd w:id="135"/>
      <w:bookmarkEnd w:id="136"/>
      <w:bookmarkEnd w:id="137"/>
      <w:bookmarkEnd w:id="138"/>
      <w:bookmarkEnd w:id="139"/>
      <w:bookmarkEnd w:id="140"/>
    </w:p>
    <w:p>
      <w:pPr>
        <w:spacing w:line="30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比较2017级和2018级国贸专业该课程综合成绩来看，后者平均分达到79.5分，相较前者提升不少，且80-90分良好等级的人数明显提高，70分以下人数骤减。</w:t>
      </w:r>
    </w:p>
    <w:p>
      <w:pPr>
        <w:spacing w:line="300" w:lineRule="auto"/>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drawing>
          <wp:inline distT="0" distB="0" distL="0" distR="0">
            <wp:extent cx="4320540" cy="2874645"/>
            <wp:effectExtent l="4445" t="4445" r="5715" b="16510"/>
            <wp:docPr id="12348" name="图表 123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pPr>
        <w:spacing w:line="300" w:lineRule="auto"/>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drawing>
          <wp:inline distT="0" distB="0" distL="0" distR="0">
            <wp:extent cx="4331970" cy="2903220"/>
            <wp:effectExtent l="4445" t="5080" r="6985" b="12700"/>
            <wp:docPr id="12349" name="图表 123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pPr>
        <w:spacing w:line="300" w:lineRule="auto"/>
        <w:jc w:val="center"/>
        <w:rPr>
          <w:rFonts w:ascii="黑体" w:hAnsi="黑体" w:eastAsia="黑体" w:cs="Times New Roman"/>
          <w:color w:val="000000" w:themeColor="text1"/>
          <w:sz w:val="24"/>
          <w14:textFill>
            <w14:solidFill>
              <w14:schemeClr w14:val="tx1"/>
            </w14:solidFill>
          </w14:textFill>
        </w:rPr>
      </w:pPr>
    </w:p>
    <w:p>
      <w:pPr>
        <w:spacing w:line="300" w:lineRule="auto"/>
        <w:jc w:val="center"/>
        <w:rPr>
          <w:rFonts w:ascii="Times New Roman" w:hAnsi="Times New Roman" w:eastAsia="宋体" w:cs="Times New Roman"/>
          <w:color w:val="000000" w:themeColor="text1"/>
          <w:sz w:val="24"/>
          <w14:textFill>
            <w14:solidFill>
              <w14:schemeClr w14:val="tx1"/>
            </w14:solidFill>
          </w14:textFill>
        </w:rPr>
      </w:pPr>
      <w:r>
        <w:rPr>
          <w:rFonts w:ascii="黑体" w:hAnsi="黑体" w:eastAsia="黑体" w:cs="Times New Roman"/>
          <w:color w:val="000000" w:themeColor="text1"/>
          <w:sz w:val="24"/>
          <w14:textFill>
            <w14:solidFill>
              <w14:schemeClr w14:val="tx1"/>
            </w14:solidFill>
          </w14:textFill>
        </w:rPr>
        <w:t>图 4-1</w:t>
      </w:r>
      <w:r>
        <w:rPr>
          <w:rFonts w:ascii="Times New Roman" w:hAnsi="Times New Roman" w:eastAsia="宋体" w:cs="Times New Roman"/>
          <w:color w:val="000000" w:themeColor="text1"/>
          <w:sz w:val="24"/>
          <w14:textFill>
            <w14:solidFill>
              <w14:schemeClr w14:val="tx1"/>
            </w14:solidFill>
          </w14:textFill>
        </w:rPr>
        <w:t>实施混合式教学前后成绩对比</w:t>
      </w:r>
    </w:p>
    <w:p>
      <w:pPr>
        <w:spacing w:line="300" w:lineRule="auto"/>
        <w:jc w:val="center"/>
        <w:rPr>
          <w:rFonts w:ascii="Times New Roman" w:hAnsi="Times New Roman" w:eastAsia="宋体" w:cs="Times New Roman"/>
          <w:color w:val="000000" w:themeColor="text1"/>
          <w:sz w:val="24"/>
          <w14:textFill>
            <w14:solidFill>
              <w14:schemeClr w14:val="tx1"/>
            </w14:solidFill>
          </w14:textFill>
        </w:rPr>
      </w:pPr>
    </w:p>
    <w:p>
      <w:pPr>
        <w:pStyle w:val="3"/>
        <w:spacing w:before="0" w:after="0" w:line="300" w:lineRule="auto"/>
        <w:rPr>
          <w:rFonts w:ascii="黑体" w:hAnsi="黑体" w:cs="Times New Roman"/>
          <w:b w:val="0"/>
          <w:color w:val="000000" w:themeColor="text1"/>
          <w:sz w:val="24"/>
          <w14:textFill>
            <w14:solidFill>
              <w14:schemeClr w14:val="tx1"/>
            </w14:solidFill>
          </w14:textFill>
        </w:rPr>
      </w:pPr>
      <w:bookmarkStart w:id="141" w:name="_Toc82109036"/>
      <w:bookmarkStart w:id="142" w:name="_Toc89440978"/>
      <w:bookmarkStart w:id="143" w:name="_Toc101980942"/>
      <w:bookmarkStart w:id="144" w:name="_Toc89439472"/>
      <w:bookmarkStart w:id="145" w:name="_Toc85097238"/>
      <w:bookmarkStart w:id="146" w:name="_Toc102337699"/>
      <w:r>
        <w:rPr>
          <w:rFonts w:ascii="黑体" w:hAnsi="黑体" w:cs="Times New Roman"/>
          <w:b w:val="0"/>
          <w:color w:val="000000" w:themeColor="text1"/>
          <w:sz w:val="24"/>
          <w14:textFill>
            <w14:solidFill>
              <w14:schemeClr w14:val="tx1"/>
            </w14:solidFill>
          </w14:textFill>
        </w:rPr>
        <w:t>4.1.2 学生问卷调查</w:t>
      </w:r>
      <w:bookmarkEnd w:id="141"/>
      <w:bookmarkEnd w:id="142"/>
      <w:bookmarkEnd w:id="143"/>
      <w:bookmarkEnd w:id="144"/>
      <w:bookmarkEnd w:id="145"/>
      <w:bookmarkEnd w:id="146"/>
    </w:p>
    <w:p>
      <w:pPr>
        <w:spacing w:line="30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国际贸易实务是国贸专业一门专业核心课，没有平行班，每年会根据学生的反馈进行改良优化。基于学校的FIF平台以及爱课堂等平台资源构建在线课程的混合式学习，主客观相结合的测试评价，便捷的研讨交流平台和视频学习的流畅性等，大大提高了学习者的学习体验。</w:t>
      </w:r>
    </w:p>
    <w:p>
      <w:pPr>
        <w:spacing w:line="30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收集学生问卷以调研学生的学习成效并评价课程的满意度。问题分别从教学方式、课程总体满意度、学习过程评价以及能力培养几个方面展开。</w:t>
      </w:r>
    </w:p>
    <w:p>
      <w:pPr>
        <w:numPr>
          <w:ilvl w:val="0"/>
          <w:numId w:val="1"/>
        </w:numPr>
        <w:spacing w:line="30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首先是教学方式的喜爱程度进行回答，如下图所示，对于传统教学和混合式教学相比，大部分学生更加喜爱混合式教学，因为从中能学习到更多的知识，调动学生学习积极性。</w:t>
      </w:r>
    </w:p>
    <w:p>
      <w:pPr>
        <w:spacing w:line="300" w:lineRule="auto"/>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drawing>
          <wp:inline distT="0" distB="0" distL="0" distR="0">
            <wp:extent cx="2804160" cy="1082040"/>
            <wp:effectExtent l="81280" t="51435" r="86360" b="73025"/>
            <wp:docPr id="12350" name="图表 123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pPr>
        <w:spacing w:line="300" w:lineRule="auto"/>
        <w:jc w:val="center"/>
        <w:rPr>
          <w:rFonts w:ascii="黑体" w:hAnsi="黑体" w:eastAsia="黑体" w:cs="Times New Roman"/>
          <w:color w:val="000000" w:themeColor="text1"/>
          <w:sz w:val="24"/>
          <w14:textFill>
            <w14:solidFill>
              <w14:schemeClr w14:val="tx1"/>
            </w14:solidFill>
          </w14:textFill>
        </w:rPr>
      </w:pPr>
    </w:p>
    <w:p>
      <w:pPr>
        <w:spacing w:line="300" w:lineRule="auto"/>
        <w:jc w:val="center"/>
        <w:rPr>
          <w:rFonts w:ascii="宋体" w:hAnsi="宋体" w:eastAsia="宋体" w:cs="Times New Roman"/>
          <w:color w:val="000000" w:themeColor="text1"/>
          <w:sz w:val="24"/>
          <w14:textFill>
            <w14:solidFill>
              <w14:schemeClr w14:val="tx1"/>
            </w14:solidFill>
          </w14:textFill>
        </w:rPr>
      </w:pPr>
      <w:r>
        <w:rPr>
          <w:rFonts w:ascii="黑体" w:hAnsi="黑体" w:eastAsia="黑体" w:cs="Times New Roman"/>
          <w:color w:val="000000" w:themeColor="text1"/>
          <w:sz w:val="24"/>
          <w14:textFill>
            <w14:solidFill>
              <w14:schemeClr w14:val="tx1"/>
            </w14:solidFill>
          </w14:textFill>
        </w:rPr>
        <w:t xml:space="preserve">图4-2  </w:t>
      </w:r>
      <w:r>
        <w:rPr>
          <w:rFonts w:ascii="宋体" w:hAnsi="宋体" w:eastAsia="宋体" w:cs="Times New Roman"/>
          <w:color w:val="000000" w:themeColor="text1"/>
          <w:sz w:val="24"/>
          <w14:textFill>
            <w14:solidFill>
              <w14:schemeClr w14:val="tx1"/>
            </w14:solidFill>
          </w14:textFill>
        </w:rPr>
        <w:t>教学方式喜爱程度</w:t>
      </w:r>
    </w:p>
    <w:p>
      <w:pPr>
        <w:spacing w:line="300" w:lineRule="auto"/>
        <w:jc w:val="center"/>
        <w:rPr>
          <w:rFonts w:ascii="黑体" w:hAnsi="黑体" w:eastAsia="黑体" w:cs="Times New Roman"/>
          <w:color w:val="000000" w:themeColor="text1"/>
          <w:sz w:val="24"/>
          <w14:textFill>
            <w14:solidFill>
              <w14:schemeClr w14:val="tx1"/>
            </w14:solidFill>
          </w14:textFill>
        </w:rPr>
      </w:pPr>
    </w:p>
    <w:p>
      <w:pPr>
        <w:spacing w:line="30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（2）总体满意度评价</w:t>
      </w:r>
    </w:p>
    <w:p>
      <w:pPr>
        <w:spacing w:line="30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学生对本门课程以及其中各部分（在线课程、课堂讨论、课堂教学和任课老师）的满意度评分如下列各图所示：</w:t>
      </w:r>
    </w:p>
    <w:p>
      <w:pPr>
        <w:spacing w:line="300" w:lineRule="auto"/>
        <w:ind w:left="420" w:leftChars="20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drawing>
          <wp:inline distT="0" distB="0" distL="114300" distR="114300">
            <wp:extent cx="1860550" cy="1487805"/>
            <wp:effectExtent l="0" t="0" r="6350" b="10795"/>
            <wp:docPr id="123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1" name="图片 1"/>
                    <pic:cNvPicPr>
                      <a:picLocks noChangeAspect="1"/>
                    </pic:cNvPicPr>
                  </pic:nvPicPr>
                  <pic:blipFill>
                    <a:blip r:embed="rId34"/>
                    <a:stretch>
                      <a:fillRect/>
                    </a:stretch>
                  </pic:blipFill>
                  <pic:spPr>
                    <a:xfrm>
                      <a:off x="0" y="0"/>
                      <a:ext cx="1866808" cy="1492841"/>
                    </a:xfrm>
                    <a:prstGeom prst="rect">
                      <a:avLst/>
                    </a:prstGeom>
                    <a:noFill/>
                    <a:ln>
                      <a:noFill/>
                    </a:ln>
                  </pic:spPr>
                </pic:pic>
              </a:graphicData>
            </a:graphic>
          </wp:inline>
        </w:drawing>
      </w:r>
      <w:r>
        <w:rPr>
          <w:rFonts w:ascii="Times New Roman" w:hAnsi="Times New Roman" w:eastAsia="宋体" w:cs="Times New Roman"/>
          <w:color w:val="000000" w:themeColor="text1"/>
          <w:szCs w:val="21"/>
          <w14:textFill>
            <w14:solidFill>
              <w14:schemeClr w14:val="tx1"/>
            </w14:solidFill>
          </w14:textFill>
        </w:rPr>
        <w:drawing>
          <wp:inline distT="0" distB="0" distL="114300" distR="114300">
            <wp:extent cx="2035810" cy="1487805"/>
            <wp:effectExtent l="0" t="0" r="8890" b="10795"/>
            <wp:docPr id="5529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96" name="图片 2"/>
                    <pic:cNvPicPr>
                      <a:picLocks noChangeAspect="1"/>
                    </pic:cNvPicPr>
                  </pic:nvPicPr>
                  <pic:blipFill>
                    <a:blip r:embed="rId35"/>
                    <a:stretch>
                      <a:fillRect/>
                    </a:stretch>
                  </pic:blipFill>
                  <pic:spPr>
                    <a:xfrm>
                      <a:off x="0" y="0"/>
                      <a:ext cx="2052803" cy="1500256"/>
                    </a:xfrm>
                    <a:prstGeom prst="rect">
                      <a:avLst/>
                    </a:prstGeom>
                    <a:noFill/>
                    <a:ln>
                      <a:noFill/>
                    </a:ln>
                  </pic:spPr>
                </pic:pic>
              </a:graphicData>
            </a:graphic>
          </wp:inline>
        </w:drawing>
      </w:r>
    </w:p>
    <w:p>
      <w:pPr>
        <w:spacing w:line="300" w:lineRule="auto"/>
        <w:ind w:left="420" w:leftChars="200"/>
        <w:jc w:val="center"/>
        <w:rPr>
          <w:rFonts w:ascii="Times New Roman" w:hAnsi="Times New Roman" w:eastAsia="宋体" w:cs="Times New Roman"/>
          <w:color w:val="000000" w:themeColor="text1"/>
          <w:sz w:val="32"/>
          <w:szCs w:val="32"/>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 xml:space="preserve">课堂讨论部分满意度评价 </w:t>
      </w:r>
      <w:r>
        <w:rPr>
          <w:rFonts w:ascii="Times New Roman" w:hAnsi="Times New Roman" w:eastAsia="宋体" w:cs="Times New Roman"/>
          <w:color w:val="000000" w:themeColor="text1"/>
          <w:sz w:val="32"/>
          <w:szCs w:val="32"/>
          <w14:textFill>
            <w14:solidFill>
              <w14:schemeClr w14:val="tx1"/>
            </w14:solidFill>
          </w14:textFill>
        </w:rPr>
        <w:t xml:space="preserve">            </w:t>
      </w:r>
      <w:r>
        <w:rPr>
          <w:rFonts w:ascii="Times New Roman" w:hAnsi="Times New Roman" w:eastAsia="宋体" w:cs="Times New Roman"/>
          <w:color w:val="000000" w:themeColor="text1"/>
          <w:sz w:val="24"/>
          <w14:textFill>
            <w14:solidFill>
              <w14:schemeClr w14:val="tx1"/>
            </w14:solidFill>
          </w14:textFill>
        </w:rPr>
        <w:t xml:space="preserve"> 课堂教学满意度评价</w:t>
      </w:r>
    </w:p>
    <w:p>
      <w:pPr>
        <w:spacing w:line="300" w:lineRule="auto"/>
        <w:ind w:left="420" w:leftChars="200"/>
        <w:jc w:val="center"/>
        <w:rPr>
          <w:rFonts w:ascii="Times New Roman" w:hAnsi="Times New Roman" w:eastAsia="宋体" w:cs="Times New Roman"/>
          <w:color w:val="000000" w:themeColor="text1"/>
          <w:sz w:val="32"/>
          <w:szCs w:val="32"/>
          <w14:textFill>
            <w14:solidFill>
              <w14:schemeClr w14:val="tx1"/>
            </w14:solidFill>
          </w14:textFill>
        </w:rPr>
      </w:pPr>
      <w:r>
        <w:rPr>
          <w:rFonts w:ascii="Times New Roman" w:hAnsi="Times New Roman" w:eastAsia="宋体" w:cs="Times New Roman"/>
          <w:color w:val="000000" w:themeColor="text1"/>
          <w:sz w:val="32"/>
          <w:szCs w:val="32"/>
          <w14:textFill>
            <w14:solidFill>
              <w14:schemeClr w14:val="tx1"/>
            </w14:solidFill>
          </w14:textFill>
        </w:rPr>
        <w:drawing>
          <wp:inline distT="0" distB="0" distL="114300" distR="114300">
            <wp:extent cx="1727200" cy="1459865"/>
            <wp:effectExtent l="0" t="0" r="0" b="635"/>
            <wp:docPr id="552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97" name="图片 4"/>
                    <pic:cNvPicPr>
                      <a:picLocks noChangeAspect="1"/>
                    </pic:cNvPicPr>
                  </pic:nvPicPr>
                  <pic:blipFill>
                    <a:blip r:embed="rId36"/>
                    <a:stretch>
                      <a:fillRect/>
                    </a:stretch>
                  </pic:blipFill>
                  <pic:spPr>
                    <a:xfrm>
                      <a:off x="0" y="0"/>
                      <a:ext cx="1727200" cy="1459865"/>
                    </a:xfrm>
                    <a:prstGeom prst="rect">
                      <a:avLst/>
                    </a:prstGeom>
                    <a:noFill/>
                    <a:ln>
                      <a:noFill/>
                    </a:ln>
                  </pic:spPr>
                </pic:pic>
              </a:graphicData>
            </a:graphic>
          </wp:inline>
        </w:drawing>
      </w:r>
      <w:r>
        <w:rPr>
          <w:rFonts w:ascii="Times New Roman" w:hAnsi="Times New Roman" w:eastAsia="宋体" w:cs="Times New Roman"/>
          <w:color w:val="000000" w:themeColor="text1"/>
          <w:sz w:val="32"/>
          <w:szCs w:val="32"/>
          <w14:textFill>
            <w14:solidFill>
              <w14:schemeClr w14:val="tx1"/>
            </w14:solidFill>
          </w14:textFill>
        </w:rPr>
        <w:drawing>
          <wp:inline distT="0" distB="0" distL="114300" distR="114300">
            <wp:extent cx="1587500" cy="1416685"/>
            <wp:effectExtent l="0" t="0" r="0" b="5715"/>
            <wp:docPr id="5529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98" name="图片 5"/>
                    <pic:cNvPicPr>
                      <a:picLocks noChangeAspect="1"/>
                    </pic:cNvPicPr>
                  </pic:nvPicPr>
                  <pic:blipFill>
                    <a:blip r:embed="rId37"/>
                    <a:stretch>
                      <a:fillRect/>
                    </a:stretch>
                  </pic:blipFill>
                  <pic:spPr>
                    <a:xfrm>
                      <a:off x="0" y="0"/>
                      <a:ext cx="1587500" cy="1416685"/>
                    </a:xfrm>
                    <a:prstGeom prst="rect">
                      <a:avLst/>
                    </a:prstGeom>
                    <a:noFill/>
                    <a:ln>
                      <a:noFill/>
                    </a:ln>
                  </pic:spPr>
                </pic:pic>
              </a:graphicData>
            </a:graphic>
          </wp:inline>
        </w:drawing>
      </w:r>
      <w:r>
        <w:rPr>
          <w:rFonts w:ascii="Times New Roman" w:hAnsi="Times New Roman" w:eastAsia="宋体" w:cs="Times New Roman"/>
          <w:color w:val="000000" w:themeColor="text1"/>
          <w:sz w:val="32"/>
          <w:szCs w:val="32"/>
          <w14:textFill>
            <w14:solidFill>
              <w14:schemeClr w14:val="tx1"/>
            </w14:solidFill>
          </w14:textFill>
        </w:rPr>
        <w:drawing>
          <wp:inline distT="0" distB="0" distL="114300" distR="114300">
            <wp:extent cx="1403985" cy="1203325"/>
            <wp:effectExtent l="0" t="0" r="5715" b="3175"/>
            <wp:docPr id="5529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99" name="图片 6"/>
                    <pic:cNvPicPr>
                      <a:picLocks noChangeAspect="1"/>
                    </pic:cNvPicPr>
                  </pic:nvPicPr>
                  <pic:blipFill>
                    <a:blip r:embed="rId38"/>
                    <a:stretch>
                      <a:fillRect/>
                    </a:stretch>
                  </pic:blipFill>
                  <pic:spPr>
                    <a:xfrm>
                      <a:off x="0" y="0"/>
                      <a:ext cx="1403985" cy="1203325"/>
                    </a:xfrm>
                    <a:prstGeom prst="rect">
                      <a:avLst/>
                    </a:prstGeom>
                    <a:noFill/>
                    <a:ln>
                      <a:noFill/>
                    </a:ln>
                  </pic:spPr>
                </pic:pic>
              </a:graphicData>
            </a:graphic>
          </wp:inline>
        </w:drawing>
      </w:r>
    </w:p>
    <w:p>
      <w:pPr>
        <w:spacing w:line="300" w:lineRule="auto"/>
        <w:ind w:left="420" w:left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 xml:space="preserve">任课老师满意度评价    在线课程部分满意度评价   整体满意度评价 </w:t>
      </w:r>
    </w:p>
    <w:p>
      <w:pPr>
        <w:spacing w:line="300" w:lineRule="auto"/>
        <w:ind w:left="420" w:leftChars="200"/>
        <w:jc w:val="center"/>
        <w:rPr>
          <w:rFonts w:ascii="黑体" w:hAnsi="黑体" w:eastAsia="黑体" w:cs="Times New Roman"/>
          <w:color w:val="000000" w:themeColor="text1"/>
          <w:sz w:val="24"/>
          <w14:textFill>
            <w14:solidFill>
              <w14:schemeClr w14:val="tx1"/>
            </w14:solidFill>
          </w14:textFill>
        </w:rPr>
      </w:pPr>
    </w:p>
    <w:p>
      <w:pPr>
        <w:spacing w:line="300" w:lineRule="auto"/>
        <w:ind w:left="420" w:leftChars="200"/>
        <w:jc w:val="center"/>
        <w:rPr>
          <w:rFonts w:ascii="Times New Roman" w:hAnsi="Times New Roman" w:eastAsia="宋体" w:cs="Times New Roman"/>
          <w:color w:val="000000" w:themeColor="text1"/>
          <w:szCs w:val="21"/>
          <w14:textFill>
            <w14:solidFill>
              <w14:schemeClr w14:val="tx1"/>
            </w14:solidFill>
          </w14:textFill>
        </w:rPr>
      </w:pPr>
      <w:r>
        <w:rPr>
          <w:rFonts w:ascii="黑体" w:hAnsi="黑体" w:eastAsia="黑体" w:cs="Times New Roman"/>
          <w:color w:val="000000" w:themeColor="text1"/>
          <w:sz w:val="24"/>
          <w14:textFill>
            <w14:solidFill>
              <w14:schemeClr w14:val="tx1"/>
            </w14:solidFill>
          </w14:textFill>
        </w:rPr>
        <w:t xml:space="preserve">图4-3 </w:t>
      </w:r>
      <w:r>
        <w:rPr>
          <w:rFonts w:ascii="Times New Roman" w:hAnsi="Times New Roman" w:eastAsia="宋体" w:cs="Times New Roman"/>
          <w:color w:val="000000" w:themeColor="text1"/>
          <w:sz w:val="24"/>
          <w14:textFill>
            <w14:solidFill>
              <w14:schemeClr w14:val="tx1"/>
            </w14:solidFill>
          </w14:textFill>
        </w:rPr>
        <w:t xml:space="preserve"> 课程总体满意度评价   </w:t>
      </w:r>
      <w:r>
        <w:rPr>
          <w:rFonts w:ascii="Times New Roman" w:hAnsi="Times New Roman" w:eastAsia="宋体" w:cs="Times New Roman"/>
          <w:color w:val="000000" w:themeColor="text1"/>
          <w:sz w:val="18"/>
          <w:szCs w:val="18"/>
          <w14:textFill>
            <w14:solidFill>
              <w14:schemeClr w14:val="tx1"/>
            </w14:solidFill>
          </w14:textFill>
        </w:rPr>
        <w:t xml:space="preserve"> </w:t>
      </w:r>
      <w:r>
        <w:rPr>
          <w:rFonts w:ascii="Times New Roman" w:hAnsi="Times New Roman" w:eastAsia="宋体" w:cs="Times New Roman"/>
          <w:color w:val="000000" w:themeColor="text1"/>
          <w:szCs w:val="21"/>
          <w14:textFill>
            <w14:solidFill>
              <w14:schemeClr w14:val="tx1"/>
            </w14:solidFill>
          </w14:textFill>
        </w:rPr>
        <w:t xml:space="preserve">      </w:t>
      </w:r>
    </w:p>
    <w:p>
      <w:pPr>
        <w:spacing w:line="300" w:lineRule="auto"/>
        <w:ind w:left="420" w:leftChars="20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 xml:space="preserve"> </w:t>
      </w:r>
    </w:p>
    <w:p>
      <w:pPr>
        <w:spacing w:line="30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从上述调查可以看出，学生对混合式教学的整体满意度较高，但是对于课堂讨论和在线课程部分还有待加强。</w:t>
      </w:r>
    </w:p>
    <w:p>
      <w:pPr>
        <w:spacing w:line="30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（3）对学习过程的评价</w:t>
      </w:r>
    </w:p>
    <w:p>
      <w:pPr>
        <w:spacing w:line="30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通过本次调查可以发现，大约96.67%的学生在课堂上参与过课堂讨论；大约85%的学生认为课堂讨论比较活跃，容易调动学生的学习氛围和积极性；73.3%的学生认为通过课堂讨论或者在线学习能够学习到比较多的知识，且0%的学生认为学习不到一点知识。具体如下图所示：</w:t>
      </w:r>
    </w:p>
    <w:p>
      <w:pPr>
        <w:spacing w:line="300" w:lineRule="auto"/>
        <w:ind w:left="420" w:hanging="420" w:hangingChars="20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drawing>
          <wp:inline distT="0" distB="0" distL="114300" distR="114300">
            <wp:extent cx="1856105" cy="1340485"/>
            <wp:effectExtent l="0" t="0" r="10795" b="5715"/>
            <wp:docPr id="5530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00" name="图片 7"/>
                    <pic:cNvPicPr>
                      <a:picLocks noChangeAspect="1"/>
                    </pic:cNvPicPr>
                  </pic:nvPicPr>
                  <pic:blipFill>
                    <a:blip r:embed="rId39"/>
                    <a:srcRect b="5716"/>
                    <a:stretch>
                      <a:fillRect/>
                    </a:stretch>
                  </pic:blipFill>
                  <pic:spPr>
                    <a:xfrm>
                      <a:off x="0" y="0"/>
                      <a:ext cx="1860809" cy="1344000"/>
                    </a:xfrm>
                    <a:prstGeom prst="rect">
                      <a:avLst/>
                    </a:prstGeom>
                    <a:noFill/>
                    <a:ln>
                      <a:noFill/>
                    </a:ln>
                  </pic:spPr>
                </pic:pic>
              </a:graphicData>
            </a:graphic>
          </wp:inline>
        </w:drawing>
      </w:r>
      <w:r>
        <w:rPr>
          <w:rFonts w:ascii="Times New Roman" w:hAnsi="Times New Roman" w:eastAsia="宋体" w:cs="Times New Roman"/>
          <w:color w:val="000000" w:themeColor="text1"/>
          <w:szCs w:val="21"/>
          <w14:textFill>
            <w14:solidFill>
              <w14:schemeClr w14:val="tx1"/>
            </w14:solidFill>
          </w14:textFill>
        </w:rPr>
        <w:drawing>
          <wp:inline distT="0" distB="0" distL="114300" distR="114300">
            <wp:extent cx="1772920" cy="1254760"/>
            <wp:effectExtent l="0" t="0" r="5080" b="2540"/>
            <wp:docPr id="5530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03" name="图片 8"/>
                    <pic:cNvPicPr>
                      <a:picLocks noChangeAspect="1"/>
                    </pic:cNvPicPr>
                  </pic:nvPicPr>
                  <pic:blipFill>
                    <a:blip r:embed="rId40"/>
                    <a:stretch>
                      <a:fillRect/>
                    </a:stretch>
                  </pic:blipFill>
                  <pic:spPr>
                    <a:xfrm>
                      <a:off x="0" y="0"/>
                      <a:ext cx="1776564" cy="1257943"/>
                    </a:xfrm>
                    <a:prstGeom prst="rect">
                      <a:avLst/>
                    </a:prstGeom>
                    <a:noFill/>
                    <a:ln>
                      <a:noFill/>
                    </a:ln>
                  </pic:spPr>
                </pic:pic>
              </a:graphicData>
            </a:graphic>
          </wp:inline>
        </w:drawing>
      </w:r>
      <w:r>
        <w:rPr>
          <w:rFonts w:ascii="Times New Roman" w:hAnsi="Times New Roman" w:eastAsia="宋体" w:cs="Times New Roman"/>
          <w:color w:val="000000" w:themeColor="text1"/>
          <w:szCs w:val="21"/>
          <w14:textFill>
            <w14:solidFill>
              <w14:schemeClr w14:val="tx1"/>
            </w14:solidFill>
          </w14:textFill>
        </w:rPr>
        <w:drawing>
          <wp:inline distT="0" distB="0" distL="114300" distR="114300">
            <wp:extent cx="1612900" cy="1434465"/>
            <wp:effectExtent l="0" t="0" r="0" b="635"/>
            <wp:docPr id="5530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04" name="图片 9"/>
                    <pic:cNvPicPr>
                      <a:picLocks noChangeAspect="1"/>
                    </pic:cNvPicPr>
                  </pic:nvPicPr>
                  <pic:blipFill>
                    <a:blip r:embed="rId41"/>
                    <a:stretch>
                      <a:fillRect/>
                    </a:stretch>
                  </pic:blipFill>
                  <pic:spPr>
                    <a:xfrm>
                      <a:off x="0" y="0"/>
                      <a:ext cx="1612900" cy="1434465"/>
                    </a:xfrm>
                    <a:prstGeom prst="rect">
                      <a:avLst/>
                    </a:prstGeom>
                    <a:noFill/>
                    <a:ln>
                      <a:noFill/>
                    </a:ln>
                  </pic:spPr>
                </pic:pic>
              </a:graphicData>
            </a:graphic>
          </wp:inline>
        </w:drawing>
      </w:r>
    </w:p>
    <w:p>
      <w:pPr>
        <w:spacing w:line="300" w:lineRule="auto"/>
        <w:ind w:left="480" w:hanging="480" w:hangingChars="200"/>
        <w:jc w:val="center"/>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是否参与过课堂讨论     在讨论或学习中能否学习更多知识  课堂讨论活跃度</w:t>
      </w:r>
    </w:p>
    <w:p>
      <w:pPr>
        <w:spacing w:line="300" w:lineRule="auto"/>
        <w:ind w:left="480" w:hanging="480" w:hangingChars="200"/>
        <w:jc w:val="center"/>
        <w:rPr>
          <w:rFonts w:ascii="黑体" w:hAnsi="黑体" w:eastAsia="黑体" w:cs="Times New Roman"/>
          <w:color w:val="000000" w:themeColor="text1"/>
          <w:sz w:val="24"/>
          <w14:textFill>
            <w14:solidFill>
              <w14:schemeClr w14:val="tx1"/>
            </w14:solidFill>
          </w14:textFill>
        </w:rPr>
      </w:pPr>
    </w:p>
    <w:p>
      <w:pPr>
        <w:spacing w:line="300" w:lineRule="auto"/>
        <w:ind w:left="480" w:hanging="480" w:hangingChars="200"/>
        <w:jc w:val="center"/>
        <w:rPr>
          <w:rFonts w:ascii="Times New Roman" w:hAnsi="Times New Roman" w:eastAsia="宋体" w:cs="Times New Roman"/>
          <w:color w:val="000000" w:themeColor="text1"/>
          <w:sz w:val="24"/>
          <w14:textFill>
            <w14:solidFill>
              <w14:schemeClr w14:val="tx1"/>
            </w14:solidFill>
          </w14:textFill>
        </w:rPr>
      </w:pPr>
      <w:r>
        <w:rPr>
          <w:rFonts w:ascii="黑体" w:hAnsi="黑体" w:eastAsia="黑体" w:cs="Times New Roman"/>
          <w:color w:val="000000" w:themeColor="text1"/>
          <w:sz w:val="24"/>
          <w14:textFill>
            <w14:solidFill>
              <w14:schemeClr w14:val="tx1"/>
            </w14:solidFill>
          </w14:textFill>
        </w:rPr>
        <w:t>图4-4</w:t>
      </w:r>
      <w:r>
        <w:rPr>
          <w:rFonts w:ascii="Times New Roman" w:hAnsi="Times New Roman" w:eastAsia="宋体" w:cs="Times New Roman"/>
          <w:color w:val="000000" w:themeColor="text1"/>
          <w:sz w:val="24"/>
          <w14:textFill>
            <w14:solidFill>
              <w14:schemeClr w14:val="tx1"/>
            </w14:solidFill>
          </w14:textFill>
        </w:rPr>
        <w:t xml:space="preserve">  学习过程评价分析</w:t>
      </w:r>
    </w:p>
    <w:p>
      <w:pPr>
        <w:spacing w:line="300" w:lineRule="auto"/>
        <w:ind w:left="480" w:hanging="480" w:hangingChars="200"/>
        <w:jc w:val="center"/>
        <w:rPr>
          <w:rFonts w:ascii="Times New Roman" w:hAnsi="Times New Roman" w:eastAsia="宋体" w:cs="Times New Roman"/>
          <w:color w:val="000000" w:themeColor="text1"/>
          <w:sz w:val="24"/>
          <w14:textFill>
            <w14:solidFill>
              <w14:schemeClr w14:val="tx1"/>
            </w14:solidFill>
          </w14:textFill>
        </w:rPr>
      </w:pPr>
    </w:p>
    <w:p>
      <w:pPr>
        <w:spacing w:line="30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（4）学习能力的培养</w:t>
      </w:r>
    </w:p>
    <w:p>
      <w:pPr>
        <w:spacing w:line="30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本次调查主要从本课程教学方式和过程考核对个人能力培养的提高方面进行展开，考察学生主动解决问题的能力、批判性思维能力、团队合作精神、表达能力、小组间互助互学能力、分析问题能力、主动参与课堂学习等。从图4-4调查结果可见，大约86.67%的学生认为通过本门课程可以使得自己主动参与课堂进行学习，极大地提高了学生的学习自觉性和主动性。75%的学生认为可以使自己主动去寻找各种来源资料去解决问题。位居第三的是70%的学生认为可以运用所学知识去解决相关问题。这些都显示了通过本门课程的学习，学生的自主性学习意识大大增强，不再是被动地接受知识，而且积极主动地去寻找知识，学习知识等，学生学习的积极性和热情大大提高。</w:t>
      </w:r>
    </w:p>
    <w:p>
      <w:pPr>
        <w:spacing w:line="300" w:lineRule="auto"/>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drawing>
          <wp:inline distT="0" distB="0" distL="0" distR="0">
            <wp:extent cx="4751070" cy="1965960"/>
            <wp:effectExtent l="100965" t="60325" r="100965" b="81915"/>
            <wp:docPr id="55305" name="图表 5530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pPr>
        <w:widowControl/>
        <w:spacing w:line="300" w:lineRule="auto"/>
        <w:jc w:val="center"/>
        <w:rPr>
          <w:rFonts w:ascii="黑体" w:hAnsi="黑体" w:eastAsia="黑体" w:cs="Times New Roman"/>
          <w:color w:val="000000" w:themeColor="text1"/>
          <w:sz w:val="24"/>
          <w14:textFill>
            <w14:solidFill>
              <w14:schemeClr w14:val="tx1"/>
            </w14:solidFill>
          </w14:textFill>
        </w:rPr>
      </w:pPr>
    </w:p>
    <w:p>
      <w:pPr>
        <w:widowControl/>
        <w:spacing w:line="300" w:lineRule="auto"/>
        <w:jc w:val="center"/>
        <w:rPr>
          <w:rFonts w:ascii="Times New Roman" w:hAnsi="Times New Roman" w:eastAsia="宋体" w:cs="Times New Roman"/>
          <w:color w:val="000000" w:themeColor="text1"/>
          <w:sz w:val="24"/>
          <w14:textFill>
            <w14:solidFill>
              <w14:schemeClr w14:val="tx1"/>
            </w14:solidFill>
          </w14:textFill>
        </w:rPr>
      </w:pPr>
      <w:r>
        <w:rPr>
          <w:rFonts w:ascii="黑体" w:hAnsi="黑体" w:eastAsia="黑体" w:cs="Times New Roman"/>
          <w:color w:val="000000" w:themeColor="text1"/>
          <w:sz w:val="24"/>
          <w14:textFill>
            <w14:solidFill>
              <w14:schemeClr w14:val="tx1"/>
            </w14:solidFill>
          </w14:textFill>
        </w:rPr>
        <w:t xml:space="preserve">图4-5 </w:t>
      </w:r>
      <w:r>
        <w:rPr>
          <w:rFonts w:ascii="Times New Roman" w:hAnsi="Times New Roman" w:eastAsia="宋体" w:cs="Times New Roman"/>
          <w:color w:val="000000" w:themeColor="text1"/>
          <w:sz w:val="24"/>
          <w14:textFill>
            <w14:solidFill>
              <w14:schemeClr w14:val="tx1"/>
            </w14:solidFill>
          </w14:textFill>
        </w:rPr>
        <w:t xml:space="preserve"> 本门课程对自身能力的促进作用</w:t>
      </w:r>
    </w:p>
    <w:p>
      <w:pPr>
        <w:widowControl/>
        <w:spacing w:line="300" w:lineRule="auto"/>
        <w:jc w:val="center"/>
        <w:rPr>
          <w:rFonts w:ascii="Times New Roman" w:hAnsi="Times New Roman" w:eastAsia="宋体" w:cs="Times New Roman"/>
          <w:color w:val="000000" w:themeColor="text1"/>
          <w:sz w:val="24"/>
          <w14:textFill>
            <w14:solidFill>
              <w14:schemeClr w14:val="tx1"/>
            </w14:solidFill>
          </w14:textFill>
        </w:rPr>
      </w:pPr>
    </w:p>
    <w:p>
      <w:pPr>
        <w:pStyle w:val="3"/>
        <w:spacing w:before="0" w:after="0" w:line="300" w:lineRule="auto"/>
        <w:rPr>
          <w:rFonts w:ascii="楷体" w:hAnsi="楷体" w:eastAsia="楷体" w:cs="Times New Roman"/>
          <w:sz w:val="28"/>
          <w:szCs w:val="21"/>
        </w:rPr>
      </w:pPr>
      <w:bookmarkStart w:id="147" w:name="_Toc89440979"/>
      <w:bookmarkStart w:id="148" w:name="_Toc85097239"/>
      <w:bookmarkStart w:id="149" w:name="_Toc101980943"/>
      <w:bookmarkStart w:id="150" w:name="_Toc82109037"/>
      <w:bookmarkStart w:id="151" w:name="_Toc89439473"/>
      <w:bookmarkStart w:id="152" w:name="_Toc102337700"/>
      <w:r>
        <w:rPr>
          <w:rFonts w:ascii="楷体" w:hAnsi="楷体" w:eastAsia="楷体" w:cs="Times New Roman"/>
          <w:sz w:val="28"/>
          <w:szCs w:val="21"/>
        </w:rPr>
        <w:t>4.2 教学实施效果与问题</w:t>
      </w:r>
      <w:bookmarkEnd w:id="147"/>
      <w:bookmarkEnd w:id="148"/>
      <w:bookmarkEnd w:id="149"/>
      <w:bookmarkEnd w:id="150"/>
      <w:bookmarkEnd w:id="151"/>
      <w:bookmarkEnd w:id="152"/>
    </w:p>
    <w:p>
      <w:pPr>
        <w:pStyle w:val="3"/>
        <w:spacing w:before="0" w:after="0" w:line="300" w:lineRule="auto"/>
        <w:rPr>
          <w:rFonts w:ascii="黑体" w:hAnsi="黑体" w:cs="Times New Roman"/>
          <w:b w:val="0"/>
          <w:color w:val="000000" w:themeColor="text1"/>
          <w:sz w:val="24"/>
          <w14:textFill>
            <w14:solidFill>
              <w14:schemeClr w14:val="tx1"/>
            </w14:solidFill>
          </w14:textFill>
        </w:rPr>
      </w:pPr>
      <w:bookmarkStart w:id="153" w:name="_Toc101980944"/>
      <w:bookmarkStart w:id="154" w:name="_Toc85097240"/>
      <w:bookmarkStart w:id="155" w:name="_Toc89439474"/>
      <w:bookmarkStart w:id="156" w:name="_Toc82109038"/>
      <w:bookmarkStart w:id="157" w:name="_Toc89440980"/>
      <w:bookmarkStart w:id="158" w:name="_Toc102337701"/>
      <w:r>
        <w:rPr>
          <w:rFonts w:ascii="黑体" w:hAnsi="黑体" w:cs="Times New Roman"/>
          <w:b w:val="0"/>
          <w:color w:val="000000" w:themeColor="text1"/>
          <w:sz w:val="24"/>
          <w14:textFill>
            <w14:solidFill>
              <w14:schemeClr w14:val="tx1"/>
            </w14:solidFill>
          </w14:textFill>
        </w:rPr>
        <w:t>4.2.1 课程教学效果</w:t>
      </w:r>
      <w:bookmarkEnd w:id="153"/>
      <w:bookmarkEnd w:id="154"/>
      <w:bookmarkEnd w:id="155"/>
      <w:bookmarkEnd w:id="156"/>
      <w:bookmarkEnd w:id="157"/>
      <w:bookmarkEnd w:id="158"/>
    </w:p>
    <w:p>
      <w:pPr>
        <w:spacing w:line="300" w:lineRule="auto"/>
        <w:ind w:firstLine="480" w:firstLineChars="200"/>
        <w:rPr>
          <w:rFonts w:ascii="Times New Roman" w:hAnsi="Times New Roman" w:eastAsia="宋体" w:cs="Times New Roman"/>
          <w:bCs/>
          <w:color w:val="000000" w:themeColor="text1"/>
          <w:sz w:val="24"/>
          <w14:textFill>
            <w14:solidFill>
              <w14:schemeClr w14:val="tx1"/>
            </w14:solidFill>
          </w14:textFill>
        </w:rPr>
      </w:pPr>
      <w:r>
        <w:rPr>
          <w:rFonts w:ascii="Times New Roman" w:hAnsi="Times New Roman" w:eastAsia="宋体" w:cs="Times New Roman"/>
          <w:bCs/>
          <w:color w:val="000000" w:themeColor="text1"/>
          <w:sz w:val="24"/>
          <w14:textFill>
            <w14:solidFill>
              <w14:schemeClr w14:val="tx1"/>
            </w14:solidFill>
          </w14:textFill>
        </w:rPr>
        <w:t>在传统教学过程中存在的各类问题，也间接表明现行教学模式无法培养出社会真正所需要的人才，或是不熟悉整个业务流程，抑或是不能处理实际中发生的问题。改变传统教学方法，寻求新方法迫在眉睫。本课程利用现代信息技术与智慧教学工具，充分发挥了线上和线下教学的特色与优势，通过混合式教学对课程重塑，利用</w:t>
      </w:r>
      <w:r>
        <w:rPr>
          <w:rFonts w:hint="eastAsia" w:ascii="Times New Roman" w:hAnsi="Times New Roman" w:eastAsia="宋体" w:cs="Times New Roman"/>
          <w:bCs/>
          <w:color w:val="000000" w:themeColor="text1"/>
          <w:sz w:val="24"/>
          <w14:textFill>
            <w14:solidFill>
              <w14:schemeClr w14:val="tx1"/>
            </w14:solidFill>
          </w14:textFill>
        </w:rPr>
        <w:t>“</w:t>
      </w:r>
      <w:r>
        <w:rPr>
          <w:rFonts w:ascii="Times New Roman" w:hAnsi="Times New Roman" w:eastAsia="宋体" w:cs="Times New Roman"/>
          <w:bCs/>
          <w:color w:val="000000" w:themeColor="text1"/>
          <w:sz w:val="24"/>
          <w14:textFill>
            <w14:solidFill>
              <w14:schemeClr w14:val="tx1"/>
            </w14:solidFill>
          </w14:textFill>
        </w:rPr>
        <w:t>翻转课堂</w:t>
      </w:r>
      <w:r>
        <w:rPr>
          <w:rFonts w:hint="eastAsia" w:ascii="Times New Roman" w:hAnsi="Times New Roman" w:eastAsia="宋体" w:cs="Times New Roman"/>
          <w:bCs/>
          <w:color w:val="000000" w:themeColor="text1"/>
          <w:sz w:val="24"/>
          <w14:textFill>
            <w14:solidFill>
              <w14:schemeClr w14:val="tx1"/>
            </w14:solidFill>
          </w14:textFill>
        </w:rPr>
        <w:t>”</w:t>
      </w:r>
      <w:r>
        <w:rPr>
          <w:rFonts w:ascii="Times New Roman" w:hAnsi="Times New Roman" w:eastAsia="宋体" w:cs="Times New Roman"/>
          <w:bCs/>
          <w:color w:val="000000" w:themeColor="text1"/>
          <w:sz w:val="24"/>
          <w14:textFill>
            <w14:solidFill>
              <w14:schemeClr w14:val="tx1"/>
            </w14:solidFill>
          </w14:textFill>
        </w:rPr>
        <w:t>进行深度结合，实施了</w:t>
      </w:r>
      <w:r>
        <w:rPr>
          <w:rFonts w:hint="eastAsia" w:ascii="Times New Roman" w:hAnsi="Times New Roman" w:eastAsia="宋体" w:cs="Times New Roman"/>
          <w:bCs/>
          <w:color w:val="000000" w:themeColor="text1"/>
          <w:sz w:val="24"/>
          <w14:textFill>
            <w14:solidFill>
              <w14:schemeClr w14:val="tx1"/>
            </w14:solidFill>
          </w14:textFill>
        </w:rPr>
        <w:t>“</w:t>
      </w:r>
      <w:r>
        <w:rPr>
          <w:rFonts w:ascii="Times New Roman" w:hAnsi="Times New Roman" w:eastAsia="宋体" w:cs="Times New Roman"/>
          <w:bCs/>
          <w:color w:val="000000" w:themeColor="text1"/>
          <w:sz w:val="24"/>
          <w14:textFill>
            <w14:solidFill>
              <w14:schemeClr w14:val="tx1"/>
            </w14:solidFill>
          </w14:textFill>
        </w:rPr>
        <w:t>以学生为中心</w:t>
      </w:r>
      <w:r>
        <w:rPr>
          <w:rFonts w:hint="eastAsia" w:ascii="Times New Roman" w:hAnsi="Times New Roman" w:eastAsia="宋体" w:cs="Times New Roman"/>
          <w:bCs/>
          <w:color w:val="000000" w:themeColor="text1"/>
          <w:sz w:val="24"/>
          <w14:textFill>
            <w14:solidFill>
              <w14:schemeClr w14:val="tx1"/>
            </w14:solidFill>
          </w14:textFill>
        </w:rPr>
        <w:t>”</w:t>
      </w:r>
      <w:r>
        <w:rPr>
          <w:rFonts w:ascii="Times New Roman" w:hAnsi="Times New Roman" w:eastAsia="宋体" w:cs="Times New Roman"/>
          <w:bCs/>
          <w:color w:val="000000" w:themeColor="text1"/>
          <w:sz w:val="24"/>
          <w14:textFill>
            <w14:solidFill>
              <w14:schemeClr w14:val="tx1"/>
            </w14:solidFill>
          </w14:textFill>
        </w:rPr>
        <w:t>的教学活动，解决了《国际贸易实务》教学中知识点繁杂、参与度不高、自主学习意识差等难题。调动了学生参与性、主动性和积极性，教师也成为教学中的引导者而非主导者。</w:t>
      </w:r>
    </w:p>
    <w:p>
      <w:pPr>
        <w:spacing w:line="300" w:lineRule="auto"/>
        <w:ind w:firstLine="480" w:firstLineChars="200"/>
        <w:rPr>
          <w:rFonts w:ascii="Times New Roman" w:hAnsi="Times New Roman" w:eastAsia="宋体" w:cs="Times New Roman"/>
          <w:bCs/>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drawing>
          <wp:anchor distT="0" distB="0" distL="114300" distR="114300" simplePos="0" relativeHeight="251660288" behindDoc="0" locked="0" layoutInCell="1" allowOverlap="1">
            <wp:simplePos x="0" y="0"/>
            <wp:positionH relativeFrom="column">
              <wp:posOffset>23495</wp:posOffset>
            </wp:positionH>
            <wp:positionV relativeFrom="paragraph">
              <wp:posOffset>1021715</wp:posOffset>
            </wp:positionV>
            <wp:extent cx="5233670" cy="2990215"/>
            <wp:effectExtent l="0" t="0" r="11430" b="6985"/>
            <wp:wrapTopAndBottom/>
            <wp:docPr id="55306" name="图片 55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06" name="图片 55306"/>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5233670" cy="2990215"/>
                    </a:xfrm>
                    <a:prstGeom prst="rect">
                      <a:avLst/>
                    </a:prstGeom>
                  </pic:spPr>
                </pic:pic>
              </a:graphicData>
            </a:graphic>
          </wp:anchor>
        </w:drawing>
      </w:r>
      <w:r>
        <w:rPr>
          <w:rFonts w:ascii="Times New Roman" w:hAnsi="Times New Roman" w:eastAsia="宋体" w:cs="Times New Roman"/>
          <w:bCs/>
          <w:color w:val="000000" w:themeColor="text1"/>
          <w:sz w:val="24"/>
          <w14:textFill>
            <w14:solidFill>
              <w14:schemeClr w14:val="tx1"/>
            </w14:solidFill>
          </w14:textFill>
        </w:rPr>
        <w:t>2020-2021学年秋学期《国际贸易实务》开课以来，国贸1801、1802共84位学生，整体表现良好。课程考试结果表明学生成绩总体提升不少，尤其是70-90分人数显著上升。情境项目进展顺利，学生在智慧教室上课反映较好，部分评分结果如下。</w:t>
      </w:r>
    </w:p>
    <w:p>
      <w:pPr>
        <w:spacing w:line="300" w:lineRule="auto"/>
        <w:jc w:val="center"/>
        <w:rPr>
          <w:rFonts w:ascii="黑体" w:hAnsi="黑体" w:eastAsia="黑体" w:cs="Times New Roman"/>
          <w:bCs/>
          <w:color w:val="000000" w:themeColor="text1"/>
          <w:sz w:val="24"/>
          <w14:textFill>
            <w14:solidFill>
              <w14:schemeClr w14:val="tx1"/>
            </w14:solidFill>
          </w14:textFill>
        </w:rPr>
      </w:pPr>
    </w:p>
    <w:p>
      <w:pPr>
        <w:spacing w:line="300" w:lineRule="auto"/>
        <w:jc w:val="center"/>
        <w:rPr>
          <w:rFonts w:ascii="Times New Roman" w:hAnsi="Times New Roman" w:eastAsia="宋体" w:cs="Times New Roman"/>
          <w:bCs/>
          <w:color w:val="000000" w:themeColor="text1"/>
          <w:sz w:val="24"/>
          <w14:textFill>
            <w14:solidFill>
              <w14:schemeClr w14:val="tx1"/>
            </w14:solidFill>
          </w14:textFill>
        </w:rPr>
      </w:pPr>
      <w:r>
        <w:rPr>
          <w:rFonts w:ascii="黑体" w:hAnsi="黑体" w:eastAsia="黑体" w:cs="Times New Roman"/>
          <w:bCs/>
          <w:color w:val="000000" w:themeColor="text1"/>
          <w:sz w:val="24"/>
          <w14:textFill>
            <w14:solidFill>
              <w14:schemeClr w14:val="tx1"/>
            </w14:solidFill>
          </w14:textFill>
        </w:rPr>
        <w:t>图4-6</w:t>
      </w:r>
      <w:r>
        <w:rPr>
          <w:rFonts w:ascii="Times New Roman" w:hAnsi="Times New Roman" w:eastAsia="宋体" w:cs="Times New Roman"/>
          <w:bCs/>
          <w:color w:val="000000" w:themeColor="text1"/>
          <w:sz w:val="24"/>
          <w14:textFill>
            <w14:solidFill>
              <w14:schemeClr w14:val="tx1"/>
            </w14:solidFill>
          </w14:textFill>
        </w:rPr>
        <w:t xml:space="preserve"> 《国际贸易实务》情境项目评分</w:t>
      </w:r>
    </w:p>
    <w:p>
      <w:pPr>
        <w:spacing w:line="300" w:lineRule="auto"/>
        <w:jc w:val="center"/>
        <w:rPr>
          <w:rFonts w:ascii="Times New Roman" w:hAnsi="Times New Roman" w:eastAsia="宋体" w:cs="Times New Roman"/>
          <w:bCs/>
          <w:color w:val="000000" w:themeColor="text1"/>
          <w:sz w:val="24"/>
          <w14:textFill>
            <w14:solidFill>
              <w14:schemeClr w14:val="tx1"/>
            </w14:solidFill>
          </w14:textFill>
        </w:rPr>
      </w:pPr>
    </w:p>
    <w:p>
      <w:pPr>
        <w:pStyle w:val="3"/>
        <w:spacing w:before="0" w:after="0" w:line="300" w:lineRule="auto"/>
        <w:rPr>
          <w:rFonts w:ascii="黑体" w:hAnsi="黑体" w:cs="Times New Roman"/>
          <w:b w:val="0"/>
          <w:color w:val="000000" w:themeColor="text1"/>
          <w:sz w:val="24"/>
          <w14:textFill>
            <w14:solidFill>
              <w14:schemeClr w14:val="tx1"/>
            </w14:solidFill>
          </w14:textFill>
        </w:rPr>
      </w:pPr>
      <w:bookmarkStart w:id="159" w:name="_Toc102337702"/>
      <w:bookmarkStart w:id="160" w:name="_Toc85097241"/>
      <w:bookmarkStart w:id="161" w:name="_Toc89440981"/>
      <w:bookmarkStart w:id="162" w:name="_Toc101980945"/>
      <w:bookmarkStart w:id="163" w:name="_Toc89439475"/>
      <w:bookmarkStart w:id="164" w:name="_Toc82109039"/>
      <w:r>
        <w:rPr>
          <w:rFonts w:ascii="黑体" w:hAnsi="黑体" w:cs="Times New Roman"/>
          <w:b w:val="0"/>
          <w:color w:val="000000" w:themeColor="text1"/>
          <w:sz w:val="24"/>
          <w14:textFill>
            <w14:solidFill>
              <w14:schemeClr w14:val="tx1"/>
            </w14:solidFill>
          </w14:textFill>
        </w:rPr>
        <w:t>4.2.2 课程仍存在的问题</w:t>
      </w:r>
      <w:bookmarkEnd w:id="159"/>
      <w:bookmarkEnd w:id="160"/>
      <w:bookmarkEnd w:id="161"/>
      <w:bookmarkEnd w:id="162"/>
      <w:bookmarkEnd w:id="163"/>
      <w:bookmarkEnd w:id="164"/>
    </w:p>
    <w:p>
      <w:pPr>
        <w:spacing w:line="30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bCs/>
          <w:color w:val="000000" w:themeColor="text1"/>
          <w:sz w:val="24"/>
          <w14:textFill>
            <w14:solidFill>
              <w14:schemeClr w14:val="tx1"/>
            </w14:solidFill>
          </w14:textFill>
        </w:rPr>
        <w:t>第一，</w:t>
      </w:r>
      <w:r>
        <w:rPr>
          <w:rFonts w:ascii="Times New Roman" w:hAnsi="Times New Roman" w:eastAsia="宋体" w:cs="Times New Roman"/>
          <w:bCs/>
          <w:color w:val="000000" w:themeColor="text1"/>
          <w:sz w:val="24"/>
          <w14:textFill>
            <w14:solidFill>
              <w14:schemeClr w14:val="tx1"/>
            </w14:solidFill>
          </w14:textFill>
        </w:rPr>
        <w:t>线上课堂管理仍存在不足</w:t>
      </w:r>
      <w:r>
        <w:rPr>
          <w:rFonts w:hint="eastAsia" w:ascii="Times New Roman" w:hAnsi="Times New Roman" w:eastAsia="宋体" w:cs="Times New Roman"/>
          <w:bCs/>
          <w:color w:val="000000" w:themeColor="text1"/>
          <w:sz w:val="24"/>
          <w14:textFill>
            <w14:solidFill>
              <w14:schemeClr w14:val="tx1"/>
            </w14:solidFill>
          </w14:textFill>
        </w:rPr>
        <w:t>。</w:t>
      </w:r>
      <w:r>
        <w:rPr>
          <w:rFonts w:ascii="Times New Roman" w:hAnsi="Times New Roman" w:eastAsia="宋体" w:cs="Times New Roman"/>
          <w:bCs/>
          <w:color w:val="000000" w:themeColor="text1"/>
          <w:sz w:val="24"/>
          <w14:textFill>
            <w14:solidFill>
              <w14:schemeClr w14:val="tx1"/>
            </w14:solidFill>
          </w14:textFill>
        </w:rPr>
        <w:t>开展线上教学时，教师最大的不适应可能</w:t>
      </w:r>
      <w:r>
        <w:rPr>
          <w:rFonts w:ascii="Times New Roman" w:hAnsi="Times New Roman" w:eastAsia="宋体" w:cs="Times New Roman"/>
          <w:color w:val="000000" w:themeColor="text1"/>
          <w:sz w:val="24"/>
          <w14:textFill>
            <w14:solidFill>
              <w14:schemeClr w14:val="tx1"/>
            </w14:solidFill>
          </w14:textFill>
        </w:rPr>
        <w:t>是几乎不能与学生进行实时交流，教师无法观察学生学习过程中的现实表情，线上互动交流也不能照顾到每位学生，学生可能会觉得课堂缺少温度、教师不够亲切，而视觉信息的缺失也让教师感到无助与心虚。实施期间线上课堂存在诸如网络信号、网络加载较慢、学生自制力等众多不可控因素，如何监控线上课堂对教师来说</w:t>
      </w:r>
      <w:r>
        <w:rPr>
          <w:rFonts w:hint="eastAsia" w:ascii="Times New Roman" w:hAnsi="Times New Roman" w:eastAsia="宋体" w:cs="Times New Roman"/>
          <w:color w:val="000000" w:themeColor="text1"/>
          <w:sz w:val="24"/>
          <w14:textFill>
            <w14:solidFill>
              <w14:schemeClr w14:val="tx1"/>
            </w14:solidFill>
          </w14:textFill>
        </w:rPr>
        <w:t>是</w:t>
      </w:r>
      <w:r>
        <w:rPr>
          <w:rFonts w:ascii="Times New Roman" w:hAnsi="Times New Roman" w:eastAsia="宋体" w:cs="Times New Roman"/>
          <w:color w:val="000000" w:themeColor="text1"/>
          <w:sz w:val="24"/>
          <w14:textFill>
            <w14:solidFill>
              <w14:schemeClr w14:val="tx1"/>
            </w14:solidFill>
          </w14:textFill>
        </w:rPr>
        <w:t>巨大</w:t>
      </w:r>
      <w:r>
        <w:rPr>
          <w:rFonts w:hint="eastAsia" w:ascii="Times New Roman" w:hAnsi="Times New Roman" w:eastAsia="宋体" w:cs="Times New Roman"/>
          <w:color w:val="000000" w:themeColor="text1"/>
          <w:sz w:val="24"/>
          <w14:textFill>
            <w14:solidFill>
              <w14:schemeClr w14:val="tx1"/>
            </w14:solidFill>
          </w14:textFill>
        </w:rPr>
        <w:t>的</w:t>
      </w:r>
      <w:r>
        <w:rPr>
          <w:rFonts w:ascii="Times New Roman" w:hAnsi="Times New Roman" w:eastAsia="宋体" w:cs="Times New Roman"/>
          <w:color w:val="000000" w:themeColor="text1"/>
          <w:sz w:val="24"/>
          <w14:textFill>
            <w14:solidFill>
              <w14:schemeClr w14:val="tx1"/>
            </w14:solidFill>
          </w14:textFill>
        </w:rPr>
        <w:t>挑战。</w:t>
      </w:r>
    </w:p>
    <w:p>
      <w:pPr>
        <w:spacing w:line="30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bCs/>
          <w:color w:val="000000" w:themeColor="text1"/>
          <w:sz w:val="24"/>
          <w14:textFill>
            <w14:solidFill>
              <w14:schemeClr w14:val="tx1"/>
            </w14:solidFill>
          </w14:textFill>
        </w:rPr>
        <w:t>第二，</w:t>
      </w:r>
      <w:r>
        <w:rPr>
          <w:rFonts w:ascii="Times New Roman" w:hAnsi="Times New Roman" w:eastAsia="宋体" w:cs="Times New Roman"/>
          <w:bCs/>
          <w:color w:val="000000" w:themeColor="text1"/>
          <w:sz w:val="24"/>
          <w14:textFill>
            <w14:solidFill>
              <w14:schemeClr w14:val="tx1"/>
            </w14:solidFill>
          </w14:textFill>
        </w:rPr>
        <w:t>挖掘企业真实情景案例存在困难</w:t>
      </w:r>
      <w:r>
        <w:rPr>
          <w:rFonts w:hint="eastAsia" w:ascii="Times New Roman" w:hAnsi="Times New Roman" w:eastAsia="宋体" w:cs="Times New Roman"/>
          <w:bCs/>
          <w:color w:val="000000" w:themeColor="text1"/>
          <w:sz w:val="24"/>
          <w14:textFill>
            <w14:solidFill>
              <w14:schemeClr w14:val="tx1"/>
            </w14:solidFill>
          </w14:textFill>
        </w:rPr>
        <w:t>。</w:t>
      </w:r>
      <w:r>
        <w:rPr>
          <w:rFonts w:ascii="Times New Roman" w:hAnsi="Times New Roman" w:eastAsia="宋体" w:cs="Times New Roman"/>
          <w:bCs/>
          <w:color w:val="000000" w:themeColor="text1"/>
          <w:sz w:val="24"/>
          <w14:textFill>
            <w14:solidFill>
              <w14:schemeClr w14:val="tx1"/>
            </w14:solidFill>
          </w14:textFill>
        </w:rPr>
        <w:t>从相关企业获取更多真实资料与案</w:t>
      </w:r>
      <w:r>
        <w:rPr>
          <w:rFonts w:ascii="Times New Roman" w:hAnsi="Times New Roman" w:eastAsia="宋体" w:cs="Times New Roman"/>
          <w:color w:val="000000" w:themeColor="text1"/>
          <w:sz w:val="24"/>
          <w14:textFill>
            <w14:solidFill>
              <w14:schemeClr w14:val="tx1"/>
            </w14:solidFill>
          </w14:textFill>
        </w:rPr>
        <w:t>例，设计更合适任务，激发学生积极参与课堂的兴趣仍存在一定困难。另外，专业教师亦需积累外贸实战经验和提升组织协调能力，不断提升课堂教学质量。</w:t>
      </w:r>
    </w:p>
    <w:p>
      <w:pPr>
        <w:spacing w:line="300" w:lineRule="auto"/>
        <w:ind w:firstLine="480" w:firstLineChars="200"/>
        <w:rPr>
          <w:rFonts w:ascii="Times New Roman" w:hAnsi="Times New Roman" w:eastAsia="宋体" w:cs="Times New Roman"/>
          <w:bCs/>
          <w:color w:val="000000" w:themeColor="text1"/>
          <w:sz w:val="24"/>
          <w14:textFill>
            <w14:solidFill>
              <w14:schemeClr w14:val="tx1"/>
            </w14:solidFill>
          </w14:textFill>
        </w:rPr>
      </w:pPr>
      <w:r>
        <w:rPr>
          <w:rFonts w:hint="eastAsia" w:ascii="Times New Roman" w:hAnsi="Times New Roman" w:eastAsia="宋体" w:cs="Times New Roman"/>
          <w:bCs/>
          <w:color w:val="000000" w:themeColor="text1"/>
          <w:sz w:val="24"/>
          <w14:textFill>
            <w14:solidFill>
              <w14:schemeClr w14:val="tx1"/>
            </w14:solidFill>
          </w14:textFill>
        </w:rPr>
        <w:t>第三，</w:t>
      </w:r>
      <w:r>
        <w:rPr>
          <w:rFonts w:ascii="Times New Roman" w:hAnsi="Times New Roman" w:eastAsia="宋体" w:cs="Times New Roman"/>
          <w:bCs/>
          <w:color w:val="000000" w:themeColor="text1"/>
          <w:sz w:val="24"/>
          <w14:textFill>
            <w14:solidFill>
              <w14:schemeClr w14:val="tx1"/>
            </w14:solidFill>
          </w14:textFill>
        </w:rPr>
        <w:t>学生自主学习意识有待进一步加强</w:t>
      </w:r>
      <w:r>
        <w:rPr>
          <w:rFonts w:hint="eastAsia" w:ascii="Times New Roman" w:hAnsi="Times New Roman" w:eastAsia="宋体" w:cs="Times New Roman"/>
          <w:bCs/>
          <w:color w:val="000000" w:themeColor="text1"/>
          <w:sz w:val="24"/>
          <w14:textFill>
            <w14:solidFill>
              <w14:schemeClr w14:val="tx1"/>
            </w14:solidFill>
          </w14:textFill>
        </w:rPr>
        <w:t>。</w:t>
      </w:r>
      <w:r>
        <w:rPr>
          <w:rFonts w:ascii="Times New Roman" w:hAnsi="Times New Roman" w:eastAsia="宋体" w:cs="Times New Roman"/>
          <w:bCs/>
          <w:color w:val="000000" w:themeColor="text1"/>
          <w:sz w:val="24"/>
          <w14:textFill>
            <w14:solidFill>
              <w14:schemeClr w14:val="tx1"/>
            </w14:solidFill>
          </w14:textFill>
        </w:rPr>
        <w:t>传统教学模式下，学生往往处于被动地位，老师教什么自己学什么，缺乏自主学习动力。而混合式模式中，线上虚拟课堂则要求学生根据学习清单自主完成各类学习任务，这对于其提升自主学习能力有较大帮助。教师仍需引导学生从</w:t>
      </w:r>
      <w:r>
        <w:rPr>
          <w:rFonts w:hint="eastAsia" w:ascii="Times New Roman" w:hAnsi="Times New Roman" w:eastAsia="宋体" w:cs="Times New Roman"/>
          <w:bCs/>
          <w:color w:val="000000" w:themeColor="text1"/>
          <w:sz w:val="24"/>
          <w14:textFill>
            <w14:solidFill>
              <w14:schemeClr w14:val="tx1"/>
            </w14:solidFill>
          </w14:textFill>
        </w:rPr>
        <w:t>“</w:t>
      </w:r>
      <w:r>
        <w:rPr>
          <w:rFonts w:ascii="Times New Roman" w:hAnsi="Times New Roman" w:eastAsia="宋体" w:cs="Times New Roman"/>
          <w:bCs/>
          <w:color w:val="000000" w:themeColor="text1"/>
          <w:sz w:val="24"/>
          <w14:textFill>
            <w14:solidFill>
              <w14:schemeClr w14:val="tx1"/>
            </w14:solidFill>
          </w14:textFill>
        </w:rPr>
        <w:t>Why、What、How</w:t>
      </w:r>
      <w:r>
        <w:rPr>
          <w:rFonts w:hint="eastAsia" w:ascii="Times New Roman" w:hAnsi="Times New Roman" w:eastAsia="宋体" w:cs="Times New Roman"/>
          <w:bCs/>
          <w:color w:val="000000" w:themeColor="text1"/>
          <w:sz w:val="24"/>
          <w14:textFill>
            <w14:solidFill>
              <w14:schemeClr w14:val="tx1"/>
            </w14:solidFill>
          </w14:textFill>
        </w:rPr>
        <w:t>”</w:t>
      </w:r>
      <w:r>
        <w:rPr>
          <w:rFonts w:ascii="Times New Roman" w:hAnsi="Times New Roman" w:eastAsia="宋体" w:cs="Times New Roman"/>
          <w:bCs/>
          <w:color w:val="000000" w:themeColor="text1"/>
          <w:sz w:val="24"/>
          <w14:textFill>
            <w14:solidFill>
              <w14:schemeClr w14:val="tx1"/>
            </w14:solidFill>
          </w14:textFill>
        </w:rPr>
        <w:t>三个方面确立学习目标，制订有效的学习计划，有针对性地引导学生思考问题，加强自主学习意识。</w:t>
      </w:r>
    </w:p>
    <w:p>
      <w:pPr>
        <w:spacing w:line="300" w:lineRule="auto"/>
        <w:ind w:firstLine="480" w:firstLineChars="200"/>
        <w:rPr>
          <w:rFonts w:ascii="Times New Roman" w:hAnsi="Times New Roman" w:eastAsia="宋体" w:cs="Times New Roman"/>
          <w:bCs/>
          <w:color w:val="000000" w:themeColor="text1"/>
          <w:sz w:val="24"/>
          <w14:textFill>
            <w14:solidFill>
              <w14:schemeClr w14:val="tx1"/>
            </w14:solidFill>
          </w14:textFill>
        </w:rPr>
      </w:pPr>
      <w:r>
        <w:rPr>
          <w:rFonts w:hint="eastAsia" w:ascii="Times New Roman" w:hAnsi="Times New Roman" w:eastAsia="宋体" w:cs="Times New Roman"/>
          <w:bCs/>
          <w:color w:val="000000" w:themeColor="text1"/>
          <w:sz w:val="24"/>
          <w14:textFill>
            <w14:solidFill>
              <w14:schemeClr w14:val="tx1"/>
            </w14:solidFill>
          </w14:textFill>
        </w:rPr>
        <w:t>第四，</w:t>
      </w:r>
      <w:r>
        <w:rPr>
          <w:rFonts w:ascii="Times New Roman" w:hAnsi="Times New Roman" w:eastAsia="宋体" w:cs="Times New Roman"/>
          <w:bCs/>
          <w:color w:val="000000" w:themeColor="text1"/>
          <w:sz w:val="24"/>
          <w14:textFill>
            <w14:solidFill>
              <w14:schemeClr w14:val="tx1"/>
            </w14:solidFill>
          </w14:textFill>
        </w:rPr>
        <w:t>小组学习分组与评分尚有欠缺</w:t>
      </w:r>
      <w:r>
        <w:rPr>
          <w:rFonts w:hint="eastAsia" w:ascii="Times New Roman" w:hAnsi="Times New Roman" w:eastAsia="宋体" w:cs="Times New Roman"/>
          <w:bCs/>
          <w:color w:val="000000" w:themeColor="text1"/>
          <w:sz w:val="24"/>
          <w14:textFill>
            <w14:solidFill>
              <w14:schemeClr w14:val="tx1"/>
            </w14:solidFill>
          </w14:textFill>
        </w:rPr>
        <w:t>。</w:t>
      </w:r>
      <w:r>
        <w:rPr>
          <w:rFonts w:ascii="Times New Roman" w:hAnsi="Times New Roman" w:eastAsia="宋体" w:cs="Times New Roman"/>
          <w:bCs/>
          <w:color w:val="000000" w:themeColor="text1"/>
          <w:sz w:val="24"/>
          <w14:textFill>
            <w14:solidFill>
              <w14:schemeClr w14:val="tx1"/>
            </w14:solidFill>
          </w14:textFill>
        </w:rPr>
        <w:t>小组合作学习往往存在“搭便车”行为，在分组方面仍需采取有效措施避免这种现象发生，这就要求教师尽量将角色分工细化，针对每个角色设置问题，并要求学生进行自我点评、生生互评、教师点评等活动。当然，评分标准目前仍存在不科学现象，主观因素较多。</w:t>
      </w:r>
    </w:p>
    <w:p>
      <w:pPr>
        <w:spacing w:line="30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bCs/>
          <w:color w:val="000000" w:themeColor="text1"/>
          <w:sz w:val="24"/>
          <w14:textFill>
            <w14:solidFill>
              <w14:schemeClr w14:val="tx1"/>
            </w14:solidFill>
          </w14:textFill>
        </w:rPr>
        <w:t>第五，</w:t>
      </w:r>
      <w:r>
        <w:rPr>
          <w:rFonts w:ascii="Times New Roman" w:hAnsi="Times New Roman" w:eastAsia="宋体" w:cs="Times New Roman"/>
          <w:bCs/>
          <w:color w:val="000000" w:themeColor="text1"/>
          <w:sz w:val="24"/>
          <w14:textFill>
            <w14:solidFill>
              <w14:schemeClr w14:val="tx1"/>
            </w14:solidFill>
          </w14:textFill>
        </w:rPr>
        <w:t>教学内容创新难度大，题库题量</w:t>
      </w:r>
      <w:r>
        <w:rPr>
          <w:rFonts w:hint="eastAsia" w:ascii="Times New Roman" w:hAnsi="Times New Roman" w:eastAsia="宋体" w:cs="Times New Roman"/>
          <w:bCs/>
          <w:color w:val="000000" w:themeColor="text1"/>
          <w:sz w:val="24"/>
          <w14:textFill>
            <w14:solidFill>
              <w14:schemeClr w14:val="tx1"/>
            </w14:solidFill>
          </w14:textFill>
        </w:rPr>
        <w:t>。</w:t>
      </w:r>
      <w:r>
        <w:rPr>
          <w:rFonts w:ascii="Times New Roman" w:hAnsi="Times New Roman" w:eastAsia="宋体" w:cs="Times New Roman"/>
          <w:bCs/>
          <w:color w:val="000000" w:themeColor="text1"/>
          <w:sz w:val="24"/>
          <w14:textFill>
            <w14:solidFill>
              <w14:schemeClr w14:val="tx1"/>
            </w14:solidFill>
          </w14:textFill>
        </w:rPr>
        <w:t>教师在混合式教学中应有丰富的学</w:t>
      </w:r>
      <w:r>
        <w:rPr>
          <w:rFonts w:ascii="Times New Roman" w:hAnsi="Times New Roman" w:eastAsia="宋体" w:cs="Times New Roman"/>
          <w:color w:val="000000" w:themeColor="text1"/>
          <w:sz w:val="24"/>
          <w14:textFill>
            <w14:solidFill>
              <w14:schemeClr w14:val="tx1"/>
            </w14:solidFill>
          </w14:textFill>
        </w:rPr>
        <w:t>科基础知识，拥有开展线上教学的热情，具备混合教学组织能力，不断提升线上与线下教学能力。在精心设计教学活动时，教学内容创新难度较大，在线测试以及题库深度都有待进一步加强，如何通过课堂任务学习整合碎片化知识，实现深度学习与知识运用，具有很大挑战性。</w:t>
      </w:r>
    </w:p>
    <w:p>
      <w:pPr>
        <w:tabs>
          <w:tab w:val="left" w:pos="312"/>
        </w:tabs>
        <w:spacing w:before="312" w:beforeLines="100" w:after="312" w:afterLines="100" w:line="300" w:lineRule="auto"/>
        <w:outlineLvl w:val="0"/>
        <w:rPr>
          <w:rFonts w:ascii="黑体" w:hAnsi="黑体" w:eastAsia="黑体" w:cs="Times New Roman"/>
          <w:bCs/>
          <w:sz w:val="32"/>
          <w:szCs w:val="32"/>
        </w:rPr>
      </w:pPr>
      <w:bookmarkStart w:id="165" w:name="_Toc101980946"/>
      <w:bookmarkStart w:id="166" w:name="_Toc102337703"/>
      <w:bookmarkStart w:id="167" w:name="_Toc89440982"/>
      <w:bookmarkStart w:id="168" w:name="_Toc89439476"/>
      <w:r>
        <w:rPr>
          <w:rFonts w:ascii="黑体" w:hAnsi="黑体" w:eastAsia="黑体" w:cs="Times New Roman"/>
          <w:bCs/>
          <w:sz w:val="32"/>
          <w:szCs w:val="32"/>
        </w:rPr>
        <w:t>5 课程应用及推广情况</w:t>
      </w:r>
      <w:bookmarkEnd w:id="165"/>
      <w:bookmarkEnd w:id="166"/>
      <w:bookmarkEnd w:id="167"/>
      <w:bookmarkEnd w:id="168"/>
    </w:p>
    <w:p>
      <w:pPr>
        <w:autoSpaceDE w:val="0"/>
        <w:autoSpaceDN w:val="0"/>
        <w:spacing w:line="300" w:lineRule="auto"/>
        <w:rPr>
          <w:rFonts w:ascii="Times New Roman" w:hAnsi="Times New Roman" w:eastAsia="宋体" w:cs="Times New Roman"/>
          <w:kern w:val="0"/>
          <w:sz w:val="24"/>
        </w:rPr>
      </w:pPr>
      <w:r>
        <w:rPr>
          <w:rFonts w:ascii="Times New Roman" w:hAnsi="Times New Roman" w:eastAsia="宋体" w:cs="Times New Roman"/>
          <w:kern w:val="0"/>
          <w:sz w:val="24"/>
        </w:rPr>
        <w:t>本门课程相关的教研项目：</w:t>
      </w:r>
    </w:p>
    <w:p>
      <w:pPr>
        <w:autoSpaceDE w:val="0"/>
        <w:autoSpaceDN w:val="0"/>
        <w:spacing w:line="300" w:lineRule="auto"/>
        <w:ind w:firstLine="480" w:firstLineChars="200"/>
        <w:rPr>
          <w:rFonts w:ascii="Times New Roman" w:hAnsi="Times New Roman" w:eastAsia="宋体" w:cs="Times New Roman"/>
          <w:kern w:val="0"/>
          <w:sz w:val="24"/>
        </w:rPr>
      </w:pPr>
      <w:r>
        <w:rPr>
          <w:rFonts w:ascii="Times New Roman" w:hAnsi="Times New Roman" w:eastAsia="宋体" w:cs="Times New Roman"/>
          <w:kern w:val="0"/>
          <w:sz w:val="24"/>
        </w:rPr>
        <w:t>1.</w:t>
      </w:r>
      <w:r>
        <w:rPr>
          <w:sz w:val="24"/>
        </w:rPr>
        <w:t xml:space="preserve"> </w:t>
      </w:r>
      <w:r>
        <w:rPr>
          <w:rFonts w:ascii="Times New Roman" w:hAnsi="Times New Roman" w:eastAsia="宋体" w:cs="Times New Roman"/>
          <w:kern w:val="0"/>
          <w:sz w:val="24"/>
        </w:rPr>
        <w:t>2019年安徽省级质量工程立项项目：</w:t>
      </w:r>
      <w:r>
        <w:rPr>
          <w:rFonts w:hint="eastAsia" w:ascii="Times New Roman" w:hAnsi="Times New Roman" w:eastAsia="宋体" w:cs="Times New Roman"/>
          <w:kern w:val="0"/>
          <w:sz w:val="24"/>
        </w:rPr>
        <w:t>“</w:t>
      </w:r>
      <w:r>
        <w:rPr>
          <w:rFonts w:ascii="Times New Roman" w:hAnsi="Times New Roman" w:eastAsia="宋体" w:cs="Times New Roman"/>
          <w:kern w:val="0"/>
          <w:sz w:val="24"/>
        </w:rPr>
        <w:t>国际贸易专业课程拟真情境设计及其在教学中的应用</w:t>
      </w:r>
      <w:r>
        <w:rPr>
          <w:rFonts w:hint="eastAsia" w:ascii="Times New Roman" w:hAnsi="Times New Roman" w:eastAsia="宋体" w:cs="Times New Roman"/>
          <w:kern w:val="0"/>
          <w:sz w:val="24"/>
        </w:rPr>
        <w:t>”</w:t>
      </w:r>
      <w:r>
        <w:rPr>
          <w:rFonts w:ascii="Times New Roman" w:hAnsi="Times New Roman" w:eastAsia="宋体" w:cs="Times New Roman"/>
          <w:kern w:val="0"/>
          <w:sz w:val="24"/>
        </w:rPr>
        <w:t>（2019jyxm0896），主持，在研，2020年1月1日-2021年12月31日</w:t>
      </w:r>
    </w:p>
    <w:p>
      <w:pPr>
        <w:autoSpaceDE w:val="0"/>
        <w:autoSpaceDN w:val="0"/>
        <w:spacing w:line="300" w:lineRule="auto"/>
        <w:ind w:firstLine="480" w:firstLineChars="200"/>
        <w:rPr>
          <w:rFonts w:ascii="Times New Roman" w:hAnsi="Times New Roman" w:eastAsia="宋体" w:cs="Times New Roman"/>
          <w:kern w:val="0"/>
          <w:sz w:val="24"/>
        </w:rPr>
      </w:pPr>
      <w:r>
        <w:rPr>
          <w:rFonts w:ascii="Times New Roman" w:hAnsi="Times New Roman" w:eastAsia="宋体" w:cs="Times New Roman"/>
          <w:kern w:val="0"/>
          <w:sz w:val="24"/>
        </w:rPr>
        <w:t>2. 2020省级质量工程项目</w:t>
      </w:r>
      <w:r>
        <w:rPr>
          <w:rFonts w:hint="eastAsia" w:ascii="Times New Roman" w:hAnsi="Times New Roman" w:eastAsia="宋体" w:cs="Times New Roman"/>
          <w:kern w:val="0"/>
          <w:sz w:val="24"/>
        </w:rPr>
        <w:t>“</w:t>
      </w:r>
      <w:r>
        <w:rPr>
          <w:rFonts w:ascii="Times New Roman" w:hAnsi="Times New Roman" w:eastAsia="宋体" w:cs="Times New Roman"/>
          <w:kern w:val="0"/>
          <w:sz w:val="24"/>
        </w:rPr>
        <w:t>课程思政视角下国际贸易实务教学改革探索</w:t>
      </w:r>
      <w:r>
        <w:rPr>
          <w:rFonts w:hint="eastAsia" w:ascii="Times New Roman" w:hAnsi="Times New Roman" w:eastAsia="宋体" w:cs="Times New Roman"/>
          <w:kern w:val="0"/>
          <w:sz w:val="24"/>
        </w:rPr>
        <w:t>”</w:t>
      </w:r>
      <w:r>
        <w:rPr>
          <w:rFonts w:ascii="Times New Roman" w:hAnsi="Times New Roman" w:eastAsia="宋体" w:cs="Times New Roman"/>
          <w:kern w:val="0"/>
          <w:sz w:val="24"/>
        </w:rPr>
        <w:t>（2020kcszyjxm119），主持，在研，2021年1月1日-2022年12月31日</w:t>
      </w:r>
    </w:p>
    <w:p>
      <w:pPr>
        <w:autoSpaceDE w:val="0"/>
        <w:autoSpaceDN w:val="0"/>
        <w:spacing w:line="300" w:lineRule="auto"/>
        <w:ind w:firstLine="480" w:firstLineChars="200"/>
        <w:rPr>
          <w:rFonts w:ascii="Times New Roman" w:hAnsi="Times New Roman" w:eastAsia="宋体" w:cs="Times New Roman"/>
          <w:kern w:val="0"/>
          <w:sz w:val="24"/>
        </w:rPr>
      </w:pPr>
      <w:r>
        <w:rPr>
          <w:rFonts w:ascii="Times New Roman" w:hAnsi="Times New Roman" w:eastAsia="宋体" w:cs="Times New Roman"/>
          <w:kern w:val="0"/>
          <w:sz w:val="24"/>
        </w:rPr>
        <w:t>3. 2020省级质量工程立项项目：</w:t>
      </w:r>
      <w:r>
        <w:rPr>
          <w:rFonts w:hint="eastAsia" w:ascii="Times New Roman" w:hAnsi="Times New Roman" w:eastAsia="宋体" w:cs="Times New Roman"/>
          <w:kern w:val="0"/>
          <w:sz w:val="24"/>
        </w:rPr>
        <w:t>“</w:t>
      </w:r>
      <w:r>
        <w:rPr>
          <w:rFonts w:ascii="Times New Roman" w:hAnsi="Times New Roman" w:eastAsia="宋体" w:cs="Times New Roman"/>
          <w:kern w:val="0"/>
          <w:sz w:val="24"/>
        </w:rPr>
        <w:t>线上教学优秀课堂-国际结算</w:t>
      </w:r>
      <w:r>
        <w:rPr>
          <w:rFonts w:hint="eastAsia" w:ascii="Times New Roman" w:hAnsi="Times New Roman" w:eastAsia="宋体" w:cs="Times New Roman"/>
          <w:kern w:val="0"/>
          <w:sz w:val="24"/>
        </w:rPr>
        <w:t>”</w:t>
      </w:r>
      <w:r>
        <w:rPr>
          <w:rFonts w:ascii="Times New Roman" w:hAnsi="Times New Roman" w:eastAsia="宋体" w:cs="Times New Roman"/>
          <w:kern w:val="0"/>
          <w:sz w:val="24"/>
        </w:rPr>
        <w:t>（2020xskt227）</w:t>
      </w:r>
    </w:p>
    <w:p>
      <w:pPr>
        <w:autoSpaceDE w:val="0"/>
        <w:autoSpaceDN w:val="0"/>
        <w:spacing w:line="300" w:lineRule="auto"/>
        <w:ind w:firstLine="480" w:firstLineChars="200"/>
        <w:rPr>
          <w:rFonts w:ascii="Times New Roman" w:hAnsi="Times New Roman" w:eastAsia="宋体" w:cs="Times New Roman"/>
          <w:kern w:val="0"/>
          <w:sz w:val="24"/>
        </w:rPr>
      </w:pPr>
      <w:r>
        <w:rPr>
          <w:rFonts w:ascii="Times New Roman" w:hAnsi="Times New Roman" w:eastAsia="宋体" w:cs="Times New Roman"/>
          <w:kern w:val="0"/>
          <w:sz w:val="24"/>
        </w:rPr>
        <w:t>4. 2017年度校级核心课程建设项目——《国际贸易实务》（2017xjkcjs27）</w:t>
      </w:r>
      <w:r>
        <w:rPr>
          <w:rFonts w:hint="eastAsia" w:ascii="Times New Roman" w:hAnsi="Times New Roman" w:eastAsia="宋体" w:cs="Times New Roman"/>
          <w:kern w:val="0"/>
          <w:sz w:val="24"/>
        </w:rPr>
        <w:t>，</w:t>
      </w:r>
      <w:r>
        <w:rPr>
          <w:rFonts w:ascii="Times New Roman" w:hAnsi="Times New Roman" w:eastAsia="宋体" w:cs="Times New Roman"/>
          <w:kern w:val="0"/>
          <w:sz w:val="24"/>
        </w:rPr>
        <w:t>已结题</w:t>
      </w:r>
    </w:p>
    <w:p>
      <w:pPr>
        <w:autoSpaceDE w:val="0"/>
        <w:autoSpaceDN w:val="0"/>
        <w:spacing w:line="300" w:lineRule="auto"/>
        <w:rPr>
          <w:rFonts w:ascii="Times New Roman" w:hAnsi="Times New Roman" w:eastAsia="宋体" w:cs="Times New Roman"/>
          <w:kern w:val="0"/>
          <w:sz w:val="24"/>
        </w:rPr>
      </w:pPr>
      <w:r>
        <w:rPr>
          <w:rFonts w:ascii="Times New Roman" w:hAnsi="Times New Roman" w:eastAsia="宋体" w:cs="Times New Roman"/>
          <w:kern w:val="0"/>
          <w:sz w:val="24"/>
        </w:rPr>
        <w:t>教师教研论文：</w:t>
      </w:r>
    </w:p>
    <w:p>
      <w:pPr>
        <w:autoSpaceDE w:val="0"/>
        <w:autoSpaceDN w:val="0"/>
        <w:spacing w:line="300" w:lineRule="auto"/>
        <w:ind w:firstLine="480" w:firstLineChars="200"/>
        <w:rPr>
          <w:rFonts w:ascii="Times New Roman" w:hAnsi="Times New Roman" w:eastAsia="宋体" w:cs="Times New Roman"/>
          <w:kern w:val="0"/>
          <w:sz w:val="24"/>
        </w:rPr>
      </w:pPr>
      <w:r>
        <w:rPr>
          <w:rFonts w:ascii="Times New Roman" w:hAnsi="Times New Roman" w:eastAsia="宋体" w:cs="Times New Roman"/>
          <w:kern w:val="0"/>
          <w:sz w:val="24"/>
        </w:rPr>
        <w:t>[1]</w:t>
      </w:r>
      <w:r>
        <w:rPr>
          <w:rFonts w:hint="eastAsia"/>
          <w:sz w:val="24"/>
        </w:rPr>
        <w:t xml:space="preserve"> </w:t>
      </w:r>
      <w:r>
        <w:rPr>
          <w:rFonts w:hint="eastAsia" w:ascii="Times New Roman" w:hAnsi="Times New Roman" w:eastAsia="宋体" w:cs="Times New Roman"/>
          <w:kern w:val="0"/>
          <w:sz w:val="24"/>
        </w:rPr>
        <w:t>周文君</w:t>
      </w:r>
      <w:r>
        <w:rPr>
          <w:rFonts w:ascii="Times New Roman" w:hAnsi="Times New Roman" w:eastAsia="宋体" w:cs="Times New Roman"/>
          <w:kern w:val="0"/>
          <w:sz w:val="24"/>
        </w:rPr>
        <w:t>.基于深度学习的国际贸易实务情境式教学设计[J].湖北广播电视大学学报,2021,41(03):15-22.</w:t>
      </w:r>
    </w:p>
    <w:p>
      <w:pPr>
        <w:autoSpaceDE w:val="0"/>
        <w:autoSpaceDN w:val="0"/>
        <w:spacing w:line="300" w:lineRule="auto"/>
        <w:rPr>
          <w:rFonts w:ascii="Times New Roman" w:hAnsi="Times New Roman" w:eastAsia="宋体" w:cs="Times New Roman"/>
          <w:kern w:val="0"/>
          <w:sz w:val="24"/>
        </w:rPr>
      </w:pPr>
      <w:r>
        <w:rPr>
          <w:rFonts w:ascii="Times New Roman" w:hAnsi="Times New Roman" w:eastAsia="宋体" w:cs="Times New Roman"/>
          <w:kern w:val="0"/>
          <w:sz w:val="24"/>
        </w:rPr>
        <w:t>指导学生</w:t>
      </w:r>
      <w:r>
        <w:rPr>
          <w:rFonts w:hint="eastAsia" w:ascii="Times New Roman" w:hAnsi="Times New Roman" w:eastAsia="宋体" w:cs="Times New Roman"/>
          <w:kern w:val="0"/>
          <w:sz w:val="24"/>
        </w:rPr>
        <w:t>学科竞赛</w:t>
      </w:r>
      <w:r>
        <w:rPr>
          <w:rFonts w:ascii="Times New Roman" w:hAnsi="Times New Roman" w:eastAsia="宋体" w:cs="Times New Roman"/>
          <w:kern w:val="0"/>
          <w:sz w:val="24"/>
        </w:rPr>
        <w:t>：</w:t>
      </w:r>
    </w:p>
    <w:p>
      <w:pPr>
        <w:autoSpaceDE w:val="0"/>
        <w:autoSpaceDN w:val="0"/>
        <w:spacing w:line="300" w:lineRule="auto"/>
        <w:ind w:firstLine="480" w:firstLineChars="200"/>
        <w:rPr>
          <w:rFonts w:ascii="Times New Roman" w:hAnsi="Times New Roman" w:eastAsia="宋体" w:cs="Times New Roman"/>
          <w:kern w:val="0"/>
          <w:sz w:val="24"/>
        </w:rPr>
      </w:pPr>
      <w:r>
        <w:rPr>
          <w:rFonts w:ascii="Times New Roman" w:hAnsi="Times New Roman" w:eastAsia="宋体" w:cs="Times New Roman"/>
          <w:kern w:val="0"/>
          <w:sz w:val="24"/>
        </w:rPr>
        <w:t>2016年5月指导学生参加2016年安徽省大学生国贸综合技能大赛获三等奖3项；</w:t>
      </w:r>
    </w:p>
    <w:p>
      <w:pPr>
        <w:autoSpaceDE w:val="0"/>
        <w:autoSpaceDN w:val="0"/>
        <w:spacing w:line="300" w:lineRule="auto"/>
        <w:ind w:firstLine="480" w:firstLineChars="200"/>
        <w:rPr>
          <w:rFonts w:ascii="Times New Roman" w:hAnsi="Times New Roman" w:eastAsia="宋体" w:cs="Times New Roman"/>
          <w:kern w:val="0"/>
          <w:sz w:val="24"/>
        </w:rPr>
      </w:pPr>
      <w:r>
        <w:rPr>
          <w:rFonts w:ascii="Times New Roman" w:hAnsi="Times New Roman" w:eastAsia="宋体" w:cs="Times New Roman"/>
          <w:kern w:val="0"/>
          <w:sz w:val="24"/>
        </w:rPr>
        <w:t>2017年5月指导学生参加2017年安徽省大学生国贸综合技能大赛获二等奖1项、三等奖2项；</w:t>
      </w:r>
    </w:p>
    <w:p>
      <w:pPr>
        <w:autoSpaceDE w:val="0"/>
        <w:autoSpaceDN w:val="0"/>
        <w:spacing w:line="300" w:lineRule="auto"/>
        <w:ind w:firstLine="480" w:firstLineChars="200"/>
        <w:rPr>
          <w:rFonts w:ascii="Times New Roman" w:hAnsi="Times New Roman" w:eastAsia="宋体" w:cs="Times New Roman"/>
          <w:kern w:val="0"/>
          <w:sz w:val="24"/>
        </w:rPr>
      </w:pPr>
      <w:r>
        <w:rPr>
          <w:rFonts w:ascii="Times New Roman" w:hAnsi="Times New Roman" w:eastAsia="宋体" w:cs="Times New Roman"/>
          <w:kern w:val="0"/>
          <w:sz w:val="24"/>
        </w:rPr>
        <w:t>2018年5月指导学生参加2018年安徽省大学生国贸综合技能大赛获二等奖1项、三等奖2项；</w:t>
      </w:r>
    </w:p>
    <w:p>
      <w:pPr>
        <w:autoSpaceDE w:val="0"/>
        <w:autoSpaceDN w:val="0"/>
        <w:spacing w:line="300" w:lineRule="auto"/>
        <w:ind w:firstLine="480" w:firstLineChars="200"/>
        <w:rPr>
          <w:rFonts w:ascii="Times New Roman" w:hAnsi="Times New Roman" w:eastAsia="宋体" w:cs="Times New Roman"/>
          <w:kern w:val="0"/>
          <w:sz w:val="24"/>
        </w:rPr>
      </w:pPr>
      <w:r>
        <w:rPr>
          <w:rFonts w:ascii="Times New Roman" w:hAnsi="Times New Roman" w:eastAsia="宋体" w:cs="Times New Roman"/>
          <w:kern w:val="0"/>
          <w:sz w:val="24"/>
        </w:rPr>
        <w:t>2019年5月指导学生参加2019年安徽省大学生国贸综合技能大赛获三等奖3项；</w:t>
      </w:r>
    </w:p>
    <w:p>
      <w:pPr>
        <w:autoSpaceDE w:val="0"/>
        <w:autoSpaceDN w:val="0"/>
        <w:spacing w:line="300" w:lineRule="auto"/>
        <w:ind w:firstLine="480" w:firstLineChars="200"/>
        <w:rPr>
          <w:rFonts w:ascii="Times New Roman" w:hAnsi="Times New Roman" w:eastAsia="宋体" w:cs="Times New Roman"/>
          <w:kern w:val="0"/>
          <w:sz w:val="24"/>
        </w:rPr>
      </w:pPr>
      <w:r>
        <w:rPr>
          <w:rFonts w:ascii="Times New Roman" w:hAnsi="Times New Roman" w:eastAsia="宋体" w:cs="Times New Roman"/>
          <w:kern w:val="0"/>
          <w:sz w:val="24"/>
        </w:rPr>
        <w:t>2019年6月指导学生参加2019全国高校商业精英挑战赛-南京国贸总决赛三等奖；</w:t>
      </w:r>
    </w:p>
    <w:p>
      <w:pPr>
        <w:autoSpaceDE w:val="0"/>
        <w:autoSpaceDN w:val="0"/>
        <w:spacing w:line="300" w:lineRule="auto"/>
        <w:ind w:firstLine="480" w:firstLineChars="200"/>
        <w:rPr>
          <w:rFonts w:ascii="Times New Roman" w:hAnsi="Times New Roman" w:eastAsia="宋体" w:cs="Times New Roman"/>
          <w:kern w:val="0"/>
          <w:sz w:val="24"/>
        </w:rPr>
      </w:pPr>
      <w:r>
        <w:rPr>
          <w:rFonts w:ascii="Times New Roman" w:hAnsi="Times New Roman" w:eastAsia="宋体" w:cs="Times New Roman"/>
          <w:kern w:val="0"/>
          <w:sz w:val="24"/>
        </w:rPr>
        <w:t>2020年10月指导学生参加2020年安徽省国际贸易综合技能大赛获二等奖1项、三等奖1项；</w:t>
      </w:r>
    </w:p>
    <w:p>
      <w:pPr>
        <w:autoSpaceDE w:val="0"/>
        <w:autoSpaceDN w:val="0"/>
        <w:spacing w:line="300" w:lineRule="auto"/>
        <w:ind w:firstLine="480" w:firstLineChars="200"/>
        <w:rPr>
          <w:rFonts w:ascii="Times New Roman" w:hAnsi="Times New Roman" w:eastAsia="宋体" w:cs="Times New Roman"/>
          <w:kern w:val="0"/>
          <w:sz w:val="24"/>
        </w:rPr>
      </w:pPr>
      <w:r>
        <w:rPr>
          <w:rFonts w:ascii="Times New Roman" w:hAnsi="Times New Roman" w:eastAsia="宋体" w:cs="Times New Roman"/>
          <w:kern w:val="0"/>
          <w:sz w:val="24"/>
        </w:rPr>
        <w:t>2020年11月指导学生参加2020年大学生国际商务模拟谈判大赛获三等奖2项</w:t>
      </w:r>
      <w:r>
        <w:rPr>
          <w:rFonts w:hint="eastAsia" w:ascii="Times New Roman" w:hAnsi="Times New Roman" w:eastAsia="宋体" w:cs="Times New Roman"/>
          <w:kern w:val="0"/>
          <w:sz w:val="24"/>
        </w:rPr>
        <w:t>；</w:t>
      </w:r>
    </w:p>
    <w:p>
      <w:pPr>
        <w:autoSpaceDE w:val="0"/>
        <w:autoSpaceDN w:val="0"/>
        <w:spacing w:line="300" w:lineRule="auto"/>
        <w:ind w:firstLine="480" w:firstLineChars="200"/>
        <w:rPr>
          <w:rFonts w:ascii="Times New Roman" w:hAnsi="Times New Roman" w:eastAsia="宋体" w:cs="Times New Roman"/>
          <w:color w:val="000000" w:themeColor="text1"/>
          <w:sz w:val="24"/>
          <w14:textFill>
            <w14:solidFill>
              <w14:schemeClr w14:val="tx1"/>
            </w14:solidFill>
          </w14:textFill>
        </w:rPr>
        <w:sectPr>
          <w:type w:val="continuous"/>
          <w:pgSz w:w="11906" w:h="16838"/>
          <w:pgMar w:top="1440" w:right="1800" w:bottom="1440" w:left="1800" w:header="851" w:footer="992" w:gutter="0"/>
          <w:cols w:space="425" w:num="1"/>
          <w:docGrid w:type="lines" w:linePitch="312" w:charSpace="0"/>
        </w:sectPr>
      </w:pPr>
      <w:r>
        <w:rPr>
          <w:rFonts w:hint="eastAsia" w:ascii="Times New Roman" w:hAnsi="Times New Roman" w:eastAsia="宋体" w:cs="Times New Roman"/>
          <w:kern w:val="0"/>
          <w:sz w:val="24"/>
        </w:rPr>
        <w:t>2</w:t>
      </w:r>
      <w:r>
        <w:rPr>
          <w:rFonts w:ascii="Times New Roman" w:hAnsi="Times New Roman" w:eastAsia="宋体" w:cs="Times New Roman"/>
          <w:kern w:val="0"/>
          <w:sz w:val="24"/>
        </w:rPr>
        <w:t>021</w:t>
      </w:r>
      <w:r>
        <w:rPr>
          <w:rFonts w:hint="eastAsia" w:ascii="Times New Roman" w:hAnsi="Times New Roman" w:eastAsia="宋体" w:cs="Times New Roman"/>
          <w:kern w:val="0"/>
          <w:sz w:val="24"/>
        </w:rPr>
        <w:t>年5月</w:t>
      </w:r>
      <w:r>
        <w:rPr>
          <w:rFonts w:ascii="Times New Roman" w:hAnsi="Times New Roman" w:eastAsia="宋体" w:cs="Times New Roman"/>
          <w:kern w:val="0"/>
          <w:sz w:val="24"/>
        </w:rPr>
        <w:t>指导学生参加2021年安徽省国际贸易综合技能大赛获二等奖2项、三等奖2项</w:t>
      </w:r>
    </w:p>
    <w:p>
      <w:pPr>
        <w:spacing w:line="288" w:lineRule="auto"/>
        <w:rPr>
          <w:rFonts w:ascii="宋体" w:hAnsi="宋体" w:eastAsia="宋体" w:cs="Times New Roman"/>
          <w:sz w:val="24"/>
          <w:szCs w:val="32"/>
        </w:rPr>
      </w:pPr>
    </w:p>
    <w:sectPr>
      <w:footerReference r:id="rId6"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75996829"/>
    </w:sdtPr>
    <w:sdtEndPr>
      <w:rPr>
        <w:rFonts w:ascii="Times New Roman" w:hAnsi="Times New Roman" w:cs="Times New Roman"/>
      </w:rPr>
    </w:sdtEndPr>
    <w:sdtContent>
      <w:p>
        <w:pPr>
          <w:pStyle w:val="14"/>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158</w:t>
        </w:r>
        <w:r>
          <w:rPr>
            <w:rFonts w:ascii="Times New Roman" w:hAnsi="Times New Roman" w:cs="Times New Roman"/>
          </w:rPr>
          <w:fldChar w:fldCharType="end"/>
        </w:r>
      </w:p>
    </w:sdtContent>
  </w:sdt>
  <w:p>
    <w:pPr>
      <w:pStyle w:val="8"/>
      <w:spacing w:line="14" w:lineRule="auto"/>
      <w:rPr>
        <w:sz w:val="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31673294"/>
    </w:sdtPr>
    <w:sdtEndPr>
      <w:rPr>
        <w:rFonts w:ascii="Times New Roman" w:hAnsi="Times New Roman" w:cs="Times New Roman"/>
      </w:rPr>
    </w:sdtEndPr>
    <w:sdtContent>
      <w:p>
        <w:pPr>
          <w:pStyle w:val="14"/>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170</w:t>
        </w:r>
        <w:r>
          <w:rPr>
            <w:rFonts w:ascii="Times New Roman" w:hAnsi="Times New Roman" w:cs="Times New Roman"/>
          </w:rPr>
          <w:fldChar w:fldCharType="end"/>
        </w:r>
      </w:p>
    </w:sdtContent>
  </w:sdt>
  <w:p>
    <w:pPr>
      <w:pStyle w:val="1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73367293"/>
    </w:sdtPr>
    <w:sdtEndPr>
      <w:rPr>
        <w:rFonts w:ascii="Times New Roman" w:hAnsi="Times New Roman" w:cs="Times New Roman"/>
      </w:rPr>
    </w:sdtEndPr>
    <w:sdtContent>
      <w:p>
        <w:pPr>
          <w:pStyle w:val="14"/>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184</w:t>
        </w:r>
        <w:r>
          <w:rPr>
            <w:rFonts w:ascii="Times New Roman" w:hAnsi="Times New Roman" w:cs="Times New Roman"/>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1734311"/>
    </w:sdtPr>
    <w:sdtEndPr>
      <w:rPr>
        <w:rFonts w:ascii="Times New Roman" w:hAnsi="Times New Roman" w:cs="Times New Roman"/>
      </w:rPr>
    </w:sdtEndPr>
    <w:sdtContent>
      <w:p>
        <w:pPr>
          <w:pStyle w:val="14"/>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247</w:t>
        </w:r>
        <w:r>
          <w:rPr>
            <w:rFonts w:ascii="Times New Roman" w:hAnsi="Times New Roman" w:cs="Times New Roman"/>
          </w:rPr>
          <w:fldChar w:fldCharType="end"/>
        </w:r>
      </w:p>
    </w:sdtContent>
  </w:sdt>
  <w:p>
    <w:pPr>
      <w:pStyle w:val="8"/>
      <w:spacing w:line="14" w:lineRule="auto"/>
      <w:rPr>
        <w:sz w:val="1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2128A6D"/>
    <w:multiLevelType w:val="singleLevel"/>
    <w:tmpl w:val="F2128A6D"/>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hideSpellingErrors/>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NlYzU2NDZlZWRhZGY1YzdjNGExMDUwNGJjODllMjkifQ=="/>
  </w:docVars>
  <w:rsids>
    <w:rsidRoot w:val="00C6789D"/>
    <w:rsid w:val="00007ED6"/>
    <w:rsid w:val="000121B9"/>
    <w:rsid w:val="0002016A"/>
    <w:rsid w:val="0002356E"/>
    <w:rsid w:val="000348CC"/>
    <w:rsid w:val="0003540C"/>
    <w:rsid w:val="00040217"/>
    <w:rsid w:val="00053D21"/>
    <w:rsid w:val="000616D6"/>
    <w:rsid w:val="00065284"/>
    <w:rsid w:val="00067C3A"/>
    <w:rsid w:val="00071789"/>
    <w:rsid w:val="000734B1"/>
    <w:rsid w:val="000755FF"/>
    <w:rsid w:val="00076E93"/>
    <w:rsid w:val="00095F35"/>
    <w:rsid w:val="000C4382"/>
    <w:rsid w:val="000C64E3"/>
    <w:rsid w:val="000D00EE"/>
    <w:rsid w:val="000D1111"/>
    <w:rsid w:val="000D1D64"/>
    <w:rsid w:val="000D6752"/>
    <w:rsid w:val="000E39C2"/>
    <w:rsid w:val="000E3A72"/>
    <w:rsid w:val="000E61F2"/>
    <w:rsid w:val="000F373A"/>
    <w:rsid w:val="000F3776"/>
    <w:rsid w:val="000F6DD8"/>
    <w:rsid w:val="000F77D4"/>
    <w:rsid w:val="00101A1D"/>
    <w:rsid w:val="00104386"/>
    <w:rsid w:val="00124CA8"/>
    <w:rsid w:val="001307F7"/>
    <w:rsid w:val="00130E20"/>
    <w:rsid w:val="0013142A"/>
    <w:rsid w:val="00147A21"/>
    <w:rsid w:val="001565CC"/>
    <w:rsid w:val="00167B62"/>
    <w:rsid w:val="00172805"/>
    <w:rsid w:val="00174463"/>
    <w:rsid w:val="001A4063"/>
    <w:rsid w:val="001A51CC"/>
    <w:rsid w:val="001A68CD"/>
    <w:rsid w:val="001A6C5C"/>
    <w:rsid w:val="001B089D"/>
    <w:rsid w:val="001B1B7D"/>
    <w:rsid w:val="001B26F4"/>
    <w:rsid w:val="001B36AC"/>
    <w:rsid w:val="001B4231"/>
    <w:rsid w:val="001C2303"/>
    <w:rsid w:val="001C6C9B"/>
    <w:rsid w:val="001D597E"/>
    <w:rsid w:val="001D6C2C"/>
    <w:rsid w:val="001E36D0"/>
    <w:rsid w:val="001E6D58"/>
    <w:rsid w:val="001E7B2F"/>
    <w:rsid w:val="001F1FB5"/>
    <w:rsid w:val="001F4A96"/>
    <w:rsid w:val="001F4D29"/>
    <w:rsid w:val="0020533A"/>
    <w:rsid w:val="002105E8"/>
    <w:rsid w:val="00210FD5"/>
    <w:rsid w:val="00212687"/>
    <w:rsid w:val="0021420F"/>
    <w:rsid w:val="00216430"/>
    <w:rsid w:val="00216A9D"/>
    <w:rsid w:val="00220E37"/>
    <w:rsid w:val="00221810"/>
    <w:rsid w:val="00230DA8"/>
    <w:rsid w:val="002318E9"/>
    <w:rsid w:val="00231D7F"/>
    <w:rsid w:val="00236484"/>
    <w:rsid w:val="00236EBF"/>
    <w:rsid w:val="00237112"/>
    <w:rsid w:val="00237BAA"/>
    <w:rsid w:val="002420A8"/>
    <w:rsid w:val="002426A3"/>
    <w:rsid w:val="00242FEF"/>
    <w:rsid w:val="00244071"/>
    <w:rsid w:val="0024480D"/>
    <w:rsid w:val="002465B7"/>
    <w:rsid w:val="002510F0"/>
    <w:rsid w:val="00254281"/>
    <w:rsid w:val="0025499E"/>
    <w:rsid w:val="002564D8"/>
    <w:rsid w:val="00262C29"/>
    <w:rsid w:val="00262EC4"/>
    <w:rsid w:val="00265D38"/>
    <w:rsid w:val="00270E2E"/>
    <w:rsid w:val="002713AC"/>
    <w:rsid w:val="00273B8E"/>
    <w:rsid w:val="00280C70"/>
    <w:rsid w:val="00281CC4"/>
    <w:rsid w:val="00285C8A"/>
    <w:rsid w:val="002867DF"/>
    <w:rsid w:val="002875C3"/>
    <w:rsid w:val="00290B4D"/>
    <w:rsid w:val="00294562"/>
    <w:rsid w:val="0029570D"/>
    <w:rsid w:val="002A4319"/>
    <w:rsid w:val="002B5157"/>
    <w:rsid w:val="002D010A"/>
    <w:rsid w:val="002D2C78"/>
    <w:rsid w:val="002D4E6C"/>
    <w:rsid w:val="002F1EAD"/>
    <w:rsid w:val="002F2049"/>
    <w:rsid w:val="002F2906"/>
    <w:rsid w:val="002F2E6B"/>
    <w:rsid w:val="002F3477"/>
    <w:rsid w:val="002F3C9D"/>
    <w:rsid w:val="002F5793"/>
    <w:rsid w:val="002F6D47"/>
    <w:rsid w:val="002F732C"/>
    <w:rsid w:val="00301DD7"/>
    <w:rsid w:val="00306CCE"/>
    <w:rsid w:val="00313A33"/>
    <w:rsid w:val="00315E69"/>
    <w:rsid w:val="00317114"/>
    <w:rsid w:val="00321C4D"/>
    <w:rsid w:val="00323CB3"/>
    <w:rsid w:val="003270A8"/>
    <w:rsid w:val="00343F46"/>
    <w:rsid w:val="00353489"/>
    <w:rsid w:val="00361C44"/>
    <w:rsid w:val="00367CAC"/>
    <w:rsid w:val="003748A4"/>
    <w:rsid w:val="0038086C"/>
    <w:rsid w:val="00381782"/>
    <w:rsid w:val="00385E4E"/>
    <w:rsid w:val="003903B7"/>
    <w:rsid w:val="00393D47"/>
    <w:rsid w:val="003A1642"/>
    <w:rsid w:val="003A1F17"/>
    <w:rsid w:val="003B0365"/>
    <w:rsid w:val="003B0C52"/>
    <w:rsid w:val="003C5E20"/>
    <w:rsid w:val="003D0A40"/>
    <w:rsid w:val="003D336C"/>
    <w:rsid w:val="003D4DFF"/>
    <w:rsid w:val="003D7D08"/>
    <w:rsid w:val="003E3AB1"/>
    <w:rsid w:val="003E6963"/>
    <w:rsid w:val="003E6F19"/>
    <w:rsid w:val="003F005F"/>
    <w:rsid w:val="003F124D"/>
    <w:rsid w:val="003F1CB5"/>
    <w:rsid w:val="003F5CC3"/>
    <w:rsid w:val="003F6C55"/>
    <w:rsid w:val="004030BF"/>
    <w:rsid w:val="00406FDA"/>
    <w:rsid w:val="00411225"/>
    <w:rsid w:val="00413404"/>
    <w:rsid w:val="004151EF"/>
    <w:rsid w:val="00420EEF"/>
    <w:rsid w:val="00424E13"/>
    <w:rsid w:val="004265A0"/>
    <w:rsid w:val="0043060D"/>
    <w:rsid w:val="00432DD3"/>
    <w:rsid w:val="00432F65"/>
    <w:rsid w:val="00434D71"/>
    <w:rsid w:val="00437BD0"/>
    <w:rsid w:val="0045230D"/>
    <w:rsid w:val="0046046B"/>
    <w:rsid w:val="00466568"/>
    <w:rsid w:val="00470433"/>
    <w:rsid w:val="004709A9"/>
    <w:rsid w:val="00471014"/>
    <w:rsid w:val="0047184C"/>
    <w:rsid w:val="00471F15"/>
    <w:rsid w:val="00472FC2"/>
    <w:rsid w:val="00477493"/>
    <w:rsid w:val="00477F2A"/>
    <w:rsid w:val="00484291"/>
    <w:rsid w:val="00491C54"/>
    <w:rsid w:val="004A0BFB"/>
    <w:rsid w:val="004A13B6"/>
    <w:rsid w:val="004A3FBA"/>
    <w:rsid w:val="004A435D"/>
    <w:rsid w:val="004A480A"/>
    <w:rsid w:val="004B25F4"/>
    <w:rsid w:val="004C33DB"/>
    <w:rsid w:val="004C45CA"/>
    <w:rsid w:val="004C4BD7"/>
    <w:rsid w:val="004D37A8"/>
    <w:rsid w:val="004D50CD"/>
    <w:rsid w:val="004D6F48"/>
    <w:rsid w:val="004E7A85"/>
    <w:rsid w:val="004F0E8F"/>
    <w:rsid w:val="004F537A"/>
    <w:rsid w:val="00504F21"/>
    <w:rsid w:val="005068AE"/>
    <w:rsid w:val="00507033"/>
    <w:rsid w:val="00511544"/>
    <w:rsid w:val="00516434"/>
    <w:rsid w:val="0053202A"/>
    <w:rsid w:val="00535322"/>
    <w:rsid w:val="005404D8"/>
    <w:rsid w:val="00542E05"/>
    <w:rsid w:val="0054490A"/>
    <w:rsid w:val="005526BB"/>
    <w:rsid w:val="00553AF5"/>
    <w:rsid w:val="0055467F"/>
    <w:rsid w:val="00556F8D"/>
    <w:rsid w:val="00557BD3"/>
    <w:rsid w:val="00561FB6"/>
    <w:rsid w:val="0057217F"/>
    <w:rsid w:val="00576542"/>
    <w:rsid w:val="00580541"/>
    <w:rsid w:val="005818F8"/>
    <w:rsid w:val="0058313C"/>
    <w:rsid w:val="00591DF1"/>
    <w:rsid w:val="0059278C"/>
    <w:rsid w:val="005930D3"/>
    <w:rsid w:val="0059445B"/>
    <w:rsid w:val="00594B11"/>
    <w:rsid w:val="005A2849"/>
    <w:rsid w:val="005A3FB8"/>
    <w:rsid w:val="005B52C5"/>
    <w:rsid w:val="005B7B2E"/>
    <w:rsid w:val="005C5C15"/>
    <w:rsid w:val="005C6270"/>
    <w:rsid w:val="005C6689"/>
    <w:rsid w:val="005D326A"/>
    <w:rsid w:val="005E154C"/>
    <w:rsid w:val="005E3B07"/>
    <w:rsid w:val="005F6460"/>
    <w:rsid w:val="005F7CAC"/>
    <w:rsid w:val="006037BE"/>
    <w:rsid w:val="00604D92"/>
    <w:rsid w:val="006051C4"/>
    <w:rsid w:val="0060673B"/>
    <w:rsid w:val="00606DDB"/>
    <w:rsid w:val="00607A82"/>
    <w:rsid w:val="00610A40"/>
    <w:rsid w:val="006116DA"/>
    <w:rsid w:val="00616473"/>
    <w:rsid w:val="00627F0F"/>
    <w:rsid w:val="00635F31"/>
    <w:rsid w:val="0063720B"/>
    <w:rsid w:val="00643188"/>
    <w:rsid w:val="00646C31"/>
    <w:rsid w:val="006478D7"/>
    <w:rsid w:val="0065354E"/>
    <w:rsid w:val="00654925"/>
    <w:rsid w:val="0065543A"/>
    <w:rsid w:val="00665548"/>
    <w:rsid w:val="00670B99"/>
    <w:rsid w:val="0067360A"/>
    <w:rsid w:val="00685EA3"/>
    <w:rsid w:val="006941D4"/>
    <w:rsid w:val="0069735F"/>
    <w:rsid w:val="006A39F5"/>
    <w:rsid w:val="006A4992"/>
    <w:rsid w:val="006C00C4"/>
    <w:rsid w:val="006C0644"/>
    <w:rsid w:val="006C16A9"/>
    <w:rsid w:val="006C3368"/>
    <w:rsid w:val="006C7CD7"/>
    <w:rsid w:val="006D42C7"/>
    <w:rsid w:val="006E022B"/>
    <w:rsid w:val="006E6966"/>
    <w:rsid w:val="006E6E1F"/>
    <w:rsid w:val="006F08A0"/>
    <w:rsid w:val="006F12F2"/>
    <w:rsid w:val="00712D54"/>
    <w:rsid w:val="00712FBC"/>
    <w:rsid w:val="0071376E"/>
    <w:rsid w:val="00713BAF"/>
    <w:rsid w:val="00720CE7"/>
    <w:rsid w:val="0072132C"/>
    <w:rsid w:val="00721635"/>
    <w:rsid w:val="00722B7A"/>
    <w:rsid w:val="007337B6"/>
    <w:rsid w:val="00742129"/>
    <w:rsid w:val="00753546"/>
    <w:rsid w:val="007540C3"/>
    <w:rsid w:val="00754EDD"/>
    <w:rsid w:val="0076202B"/>
    <w:rsid w:val="00762D3F"/>
    <w:rsid w:val="00764F84"/>
    <w:rsid w:val="00773256"/>
    <w:rsid w:val="00774727"/>
    <w:rsid w:val="007759B0"/>
    <w:rsid w:val="0078480D"/>
    <w:rsid w:val="00784A2B"/>
    <w:rsid w:val="007852CF"/>
    <w:rsid w:val="00786D69"/>
    <w:rsid w:val="00790CCF"/>
    <w:rsid w:val="00795C7F"/>
    <w:rsid w:val="007B0D50"/>
    <w:rsid w:val="007B35A3"/>
    <w:rsid w:val="007B776B"/>
    <w:rsid w:val="007C515B"/>
    <w:rsid w:val="007C580F"/>
    <w:rsid w:val="007C6CE3"/>
    <w:rsid w:val="007C7296"/>
    <w:rsid w:val="007C7E84"/>
    <w:rsid w:val="007D4394"/>
    <w:rsid w:val="007E09F2"/>
    <w:rsid w:val="007E2967"/>
    <w:rsid w:val="007E2AB4"/>
    <w:rsid w:val="007E7003"/>
    <w:rsid w:val="007F01B4"/>
    <w:rsid w:val="007F6E93"/>
    <w:rsid w:val="008041B3"/>
    <w:rsid w:val="00807F00"/>
    <w:rsid w:val="00810E81"/>
    <w:rsid w:val="00820EA3"/>
    <w:rsid w:val="0082572A"/>
    <w:rsid w:val="008261AA"/>
    <w:rsid w:val="00831056"/>
    <w:rsid w:val="008375BB"/>
    <w:rsid w:val="0084389F"/>
    <w:rsid w:val="00843D55"/>
    <w:rsid w:val="00847B8F"/>
    <w:rsid w:val="00850039"/>
    <w:rsid w:val="00854952"/>
    <w:rsid w:val="00856718"/>
    <w:rsid w:val="00860B0C"/>
    <w:rsid w:val="00860CFD"/>
    <w:rsid w:val="008652BE"/>
    <w:rsid w:val="00867146"/>
    <w:rsid w:val="008723E8"/>
    <w:rsid w:val="00884934"/>
    <w:rsid w:val="008A390E"/>
    <w:rsid w:val="008B2981"/>
    <w:rsid w:val="008B5389"/>
    <w:rsid w:val="008B638A"/>
    <w:rsid w:val="008C5824"/>
    <w:rsid w:val="008D04EF"/>
    <w:rsid w:val="008D4A83"/>
    <w:rsid w:val="008D4EE0"/>
    <w:rsid w:val="008E48D3"/>
    <w:rsid w:val="008E503F"/>
    <w:rsid w:val="008F08E7"/>
    <w:rsid w:val="00902C8F"/>
    <w:rsid w:val="00906FDE"/>
    <w:rsid w:val="00914E18"/>
    <w:rsid w:val="00916026"/>
    <w:rsid w:val="009222C1"/>
    <w:rsid w:val="00922CC2"/>
    <w:rsid w:val="00924A8A"/>
    <w:rsid w:val="00926B78"/>
    <w:rsid w:val="00930CCB"/>
    <w:rsid w:val="00931C2E"/>
    <w:rsid w:val="00934452"/>
    <w:rsid w:val="00941D9C"/>
    <w:rsid w:val="00945260"/>
    <w:rsid w:val="0094535C"/>
    <w:rsid w:val="00951415"/>
    <w:rsid w:val="009543BB"/>
    <w:rsid w:val="00954506"/>
    <w:rsid w:val="00965C1C"/>
    <w:rsid w:val="009668B3"/>
    <w:rsid w:val="00983C15"/>
    <w:rsid w:val="00983F5A"/>
    <w:rsid w:val="00984717"/>
    <w:rsid w:val="0098669A"/>
    <w:rsid w:val="00986CED"/>
    <w:rsid w:val="0099008F"/>
    <w:rsid w:val="009904EB"/>
    <w:rsid w:val="00993F96"/>
    <w:rsid w:val="009A4C3E"/>
    <w:rsid w:val="009B0ADF"/>
    <w:rsid w:val="009B5147"/>
    <w:rsid w:val="009C0A03"/>
    <w:rsid w:val="009C2154"/>
    <w:rsid w:val="009C4674"/>
    <w:rsid w:val="009C7BF7"/>
    <w:rsid w:val="009D0326"/>
    <w:rsid w:val="009E14BF"/>
    <w:rsid w:val="009E2EC3"/>
    <w:rsid w:val="009E697D"/>
    <w:rsid w:val="009F2294"/>
    <w:rsid w:val="009F5185"/>
    <w:rsid w:val="009F767A"/>
    <w:rsid w:val="00A07969"/>
    <w:rsid w:val="00A26FD3"/>
    <w:rsid w:val="00A27A0B"/>
    <w:rsid w:val="00A30ACE"/>
    <w:rsid w:val="00A46B0B"/>
    <w:rsid w:val="00A51919"/>
    <w:rsid w:val="00A51B0E"/>
    <w:rsid w:val="00A52118"/>
    <w:rsid w:val="00A54641"/>
    <w:rsid w:val="00A56DB6"/>
    <w:rsid w:val="00A60737"/>
    <w:rsid w:val="00A62F99"/>
    <w:rsid w:val="00A64E94"/>
    <w:rsid w:val="00A65839"/>
    <w:rsid w:val="00A771D4"/>
    <w:rsid w:val="00A7737A"/>
    <w:rsid w:val="00A7739B"/>
    <w:rsid w:val="00A77417"/>
    <w:rsid w:val="00A8165F"/>
    <w:rsid w:val="00A82005"/>
    <w:rsid w:val="00A83B78"/>
    <w:rsid w:val="00A931A1"/>
    <w:rsid w:val="00A9578A"/>
    <w:rsid w:val="00A970B8"/>
    <w:rsid w:val="00AA0EE1"/>
    <w:rsid w:val="00AA287D"/>
    <w:rsid w:val="00AA5A46"/>
    <w:rsid w:val="00AC4594"/>
    <w:rsid w:val="00AC48F6"/>
    <w:rsid w:val="00AD052D"/>
    <w:rsid w:val="00AD0E74"/>
    <w:rsid w:val="00AD4009"/>
    <w:rsid w:val="00AD5F22"/>
    <w:rsid w:val="00AE1DCA"/>
    <w:rsid w:val="00AE403E"/>
    <w:rsid w:val="00AE672E"/>
    <w:rsid w:val="00AF209C"/>
    <w:rsid w:val="00B101FF"/>
    <w:rsid w:val="00B154F1"/>
    <w:rsid w:val="00B157D4"/>
    <w:rsid w:val="00B31FCB"/>
    <w:rsid w:val="00B36E71"/>
    <w:rsid w:val="00B40594"/>
    <w:rsid w:val="00B53A60"/>
    <w:rsid w:val="00B542ED"/>
    <w:rsid w:val="00B55006"/>
    <w:rsid w:val="00B55221"/>
    <w:rsid w:val="00B572B2"/>
    <w:rsid w:val="00B572E0"/>
    <w:rsid w:val="00B60365"/>
    <w:rsid w:val="00B65670"/>
    <w:rsid w:val="00B71243"/>
    <w:rsid w:val="00B7306F"/>
    <w:rsid w:val="00BA0085"/>
    <w:rsid w:val="00BA26F8"/>
    <w:rsid w:val="00BA38D7"/>
    <w:rsid w:val="00BA7F43"/>
    <w:rsid w:val="00BB19E0"/>
    <w:rsid w:val="00BB1BFC"/>
    <w:rsid w:val="00BB63AD"/>
    <w:rsid w:val="00BB7406"/>
    <w:rsid w:val="00BB768D"/>
    <w:rsid w:val="00BB78B8"/>
    <w:rsid w:val="00BC14A1"/>
    <w:rsid w:val="00BD0D75"/>
    <w:rsid w:val="00BD0ECB"/>
    <w:rsid w:val="00BD6003"/>
    <w:rsid w:val="00BE1C68"/>
    <w:rsid w:val="00BE46A3"/>
    <w:rsid w:val="00BF35E1"/>
    <w:rsid w:val="00BF65CC"/>
    <w:rsid w:val="00C006D5"/>
    <w:rsid w:val="00C04D01"/>
    <w:rsid w:val="00C068CA"/>
    <w:rsid w:val="00C10009"/>
    <w:rsid w:val="00C11D65"/>
    <w:rsid w:val="00C13853"/>
    <w:rsid w:val="00C14C9C"/>
    <w:rsid w:val="00C15454"/>
    <w:rsid w:val="00C16611"/>
    <w:rsid w:val="00C304A4"/>
    <w:rsid w:val="00C40A49"/>
    <w:rsid w:val="00C45F03"/>
    <w:rsid w:val="00C51E5D"/>
    <w:rsid w:val="00C53A22"/>
    <w:rsid w:val="00C6789D"/>
    <w:rsid w:val="00C7147C"/>
    <w:rsid w:val="00C7178C"/>
    <w:rsid w:val="00C74F15"/>
    <w:rsid w:val="00C75D6F"/>
    <w:rsid w:val="00C84A73"/>
    <w:rsid w:val="00C87931"/>
    <w:rsid w:val="00C96154"/>
    <w:rsid w:val="00C970B1"/>
    <w:rsid w:val="00CA27F8"/>
    <w:rsid w:val="00CA349C"/>
    <w:rsid w:val="00CA3663"/>
    <w:rsid w:val="00CA72F9"/>
    <w:rsid w:val="00CB7E90"/>
    <w:rsid w:val="00CC72ED"/>
    <w:rsid w:val="00CD1F21"/>
    <w:rsid w:val="00CD2378"/>
    <w:rsid w:val="00CD41BE"/>
    <w:rsid w:val="00CD678A"/>
    <w:rsid w:val="00CD698A"/>
    <w:rsid w:val="00CD7061"/>
    <w:rsid w:val="00CD7341"/>
    <w:rsid w:val="00CF0633"/>
    <w:rsid w:val="00CF552A"/>
    <w:rsid w:val="00D02EA0"/>
    <w:rsid w:val="00D06354"/>
    <w:rsid w:val="00D11C86"/>
    <w:rsid w:val="00D16D0F"/>
    <w:rsid w:val="00D1794B"/>
    <w:rsid w:val="00D21818"/>
    <w:rsid w:val="00D219EE"/>
    <w:rsid w:val="00D23F6C"/>
    <w:rsid w:val="00D24685"/>
    <w:rsid w:val="00D2512E"/>
    <w:rsid w:val="00D26A41"/>
    <w:rsid w:val="00D27D2F"/>
    <w:rsid w:val="00D31F61"/>
    <w:rsid w:val="00D32365"/>
    <w:rsid w:val="00D330FE"/>
    <w:rsid w:val="00D34AD2"/>
    <w:rsid w:val="00D36E79"/>
    <w:rsid w:val="00D37BF7"/>
    <w:rsid w:val="00D37FB5"/>
    <w:rsid w:val="00D44999"/>
    <w:rsid w:val="00D53DF0"/>
    <w:rsid w:val="00D53EA2"/>
    <w:rsid w:val="00D56820"/>
    <w:rsid w:val="00D57AB7"/>
    <w:rsid w:val="00D64F21"/>
    <w:rsid w:val="00D76AF6"/>
    <w:rsid w:val="00D838CF"/>
    <w:rsid w:val="00D83D25"/>
    <w:rsid w:val="00D94F3D"/>
    <w:rsid w:val="00D94FCC"/>
    <w:rsid w:val="00D95112"/>
    <w:rsid w:val="00DA26F0"/>
    <w:rsid w:val="00DA5A75"/>
    <w:rsid w:val="00DB4436"/>
    <w:rsid w:val="00DB6EE0"/>
    <w:rsid w:val="00DC072A"/>
    <w:rsid w:val="00DC52E2"/>
    <w:rsid w:val="00DD3F8F"/>
    <w:rsid w:val="00DD6BF6"/>
    <w:rsid w:val="00DE49A8"/>
    <w:rsid w:val="00DF0216"/>
    <w:rsid w:val="00DF421B"/>
    <w:rsid w:val="00DF7DBA"/>
    <w:rsid w:val="00E00A37"/>
    <w:rsid w:val="00E02D1B"/>
    <w:rsid w:val="00E051B6"/>
    <w:rsid w:val="00E15101"/>
    <w:rsid w:val="00E23964"/>
    <w:rsid w:val="00E2478B"/>
    <w:rsid w:val="00E37BFE"/>
    <w:rsid w:val="00E439DC"/>
    <w:rsid w:val="00E44820"/>
    <w:rsid w:val="00E45284"/>
    <w:rsid w:val="00E475C7"/>
    <w:rsid w:val="00E54688"/>
    <w:rsid w:val="00E61603"/>
    <w:rsid w:val="00E71C87"/>
    <w:rsid w:val="00E738BA"/>
    <w:rsid w:val="00E757D8"/>
    <w:rsid w:val="00E849F1"/>
    <w:rsid w:val="00E9022D"/>
    <w:rsid w:val="00E91892"/>
    <w:rsid w:val="00E92AE3"/>
    <w:rsid w:val="00E969A3"/>
    <w:rsid w:val="00EA1D0E"/>
    <w:rsid w:val="00EA3CC4"/>
    <w:rsid w:val="00EA4522"/>
    <w:rsid w:val="00EA531C"/>
    <w:rsid w:val="00EB0CA3"/>
    <w:rsid w:val="00EB4633"/>
    <w:rsid w:val="00EC057B"/>
    <w:rsid w:val="00EC2224"/>
    <w:rsid w:val="00EC2885"/>
    <w:rsid w:val="00EC7017"/>
    <w:rsid w:val="00ED0BC1"/>
    <w:rsid w:val="00ED0EF4"/>
    <w:rsid w:val="00ED1099"/>
    <w:rsid w:val="00ED29F4"/>
    <w:rsid w:val="00ED4FE6"/>
    <w:rsid w:val="00EE70B5"/>
    <w:rsid w:val="00EF18AD"/>
    <w:rsid w:val="00EF30DB"/>
    <w:rsid w:val="00EF7B12"/>
    <w:rsid w:val="00F01287"/>
    <w:rsid w:val="00F01785"/>
    <w:rsid w:val="00F01EA2"/>
    <w:rsid w:val="00F0569F"/>
    <w:rsid w:val="00F06645"/>
    <w:rsid w:val="00F115B4"/>
    <w:rsid w:val="00F121F5"/>
    <w:rsid w:val="00F2325B"/>
    <w:rsid w:val="00F2666A"/>
    <w:rsid w:val="00F26E6E"/>
    <w:rsid w:val="00F27C77"/>
    <w:rsid w:val="00F310F3"/>
    <w:rsid w:val="00F33622"/>
    <w:rsid w:val="00F34B56"/>
    <w:rsid w:val="00F36779"/>
    <w:rsid w:val="00F43648"/>
    <w:rsid w:val="00F55004"/>
    <w:rsid w:val="00F55205"/>
    <w:rsid w:val="00F6083B"/>
    <w:rsid w:val="00F64233"/>
    <w:rsid w:val="00F67BD7"/>
    <w:rsid w:val="00F72348"/>
    <w:rsid w:val="00F74EF7"/>
    <w:rsid w:val="00F76C4F"/>
    <w:rsid w:val="00F809DB"/>
    <w:rsid w:val="00F80F7D"/>
    <w:rsid w:val="00F81A71"/>
    <w:rsid w:val="00F91FE1"/>
    <w:rsid w:val="00F94329"/>
    <w:rsid w:val="00FA14C3"/>
    <w:rsid w:val="00FB50D1"/>
    <w:rsid w:val="00FB7A0B"/>
    <w:rsid w:val="00FC4313"/>
    <w:rsid w:val="00FD0627"/>
    <w:rsid w:val="00FD269B"/>
    <w:rsid w:val="00FD5E08"/>
    <w:rsid w:val="00FD7ED0"/>
    <w:rsid w:val="00FE31BF"/>
    <w:rsid w:val="00FF030F"/>
    <w:rsid w:val="00FF354B"/>
    <w:rsid w:val="00FF540C"/>
    <w:rsid w:val="0325603F"/>
    <w:rsid w:val="04421A29"/>
    <w:rsid w:val="07532C44"/>
    <w:rsid w:val="09E97181"/>
    <w:rsid w:val="0B1A0B3D"/>
    <w:rsid w:val="0EDF7256"/>
    <w:rsid w:val="13FE26D1"/>
    <w:rsid w:val="148E70B9"/>
    <w:rsid w:val="18F6459F"/>
    <w:rsid w:val="21BA3BFF"/>
    <w:rsid w:val="224551CB"/>
    <w:rsid w:val="230B03BE"/>
    <w:rsid w:val="235201CF"/>
    <w:rsid w:val="236E0272"/>
    <w:rsid w:val="28173385"/>
    <w:rsid w:val="29061A36"/>
    <w:rsid w:val="2A1D3046"/>
    <w:rsid w:val="2A51303C"/>
    <w:rsid w:val="2C7D2835"/>
    <w:rsid w:val="2CA03D03"/>
    <w:rsid w:val="2D060974"/>
    <w:rsid w:val="2E285EBE"/>
    <w:rsid w:val="30F2495A"/>
    <w:rsid w:val="3529756D"/>
    <w:rsid w:val="355B66CB"/>
    <w:rsid w:val="372E2E9B"/>
    <w:rsid w:val="37E37116"/>
    <w:rsid w:val="3FA60F4B"/>
    <w:rsid w:val="41003B2C"/>
    <w:rsid w:val="41C17671"/>
    <w:rsid w:val="43180405"/>
    <w:rsid w:val="43AA3C3B"/>
    <w:rsid w:val="47F06736"/>
    <w:rsid w:val="47FB3C9E"/>
    <w:rsid w:val="500D7C16"/>
    <w:rsid w:val="50103176"/>
    <w:rsid w:val="507C7719"/>
    <w:rsid w:val="557350A0"/>
    <w:rsid w:val="588230A4"/>
    <w:rsid w:val="58B71E84"/>
    <w:rsid w:val="58B93A13"/>
    <w:rsid w:val="59445A94"/>
    <w:rsid w:val="59544D24"/>
    <w:rsid w:val="59AC29B6"/>
    <w:rsid w:val="5BE25646"/>
    <w:rsid w:val="60071DEA"/>
    <w:rsid w:val="61BD0A81"/>
    <w:rsid w:val="61FF0E6B"/>
    <w:rsid w:val="65F52820"/>
    <w:rsid w:val="676065E1"/>
    <w:rsid w:val="6BF645AA"/>
    <w:rsid w:val="6C0731D3"/>
    <w:rsid w:val="6C0F70E1"/>
    <w:rsid w:val="6CCA68B9"/>
    <w:rsid w:val="6CDE737B"/>
    <w:rsid w:val="6D2A5F94"/>
    <w:rsid w:val="6D874BD5"/>
    <w:rsid w:val="6E512731"/>
    <w:rsid w:val="6F547D7B"/>
    <w:rsid w:val="72565C05"/>
    <w:rsid w:val="728B49B4"/>
    <w:rsid w:val="768B4932"/>
    <w:rsid w:val="77DE2CB9"/>
    <w:rsid w:val="79FA1F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semiHidden="0" w:name="toc 4"/>
    <w:lsdException w:uiPriority="39" w:semiHidden="0" w:name="toc 5"/>
    <w:lsdException w:qFormat="1" w:uiPriority="39" w:semiHidden="0" w:name="toc 6"/>
    <w:lsdException w:qFormat="1" w:uiPriority="39" w:semiHidden="0" w:name="toc 7"/>
    <w:lsdException w:qFormat="1" w:uiPriority="39" w:semiHidden="0" w:name="toc 8"/>
    <w:lsdException w:uiPriority="39" w:semiHidden="0" w:name="toc 9"/>
    <w:lsdException w:qFormat="1" w:unhideWhenUsed="0" w:uiPriority="0" w:semiHidden="0"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30"/>
    <w:qFormat/>
    <w:uiPriority w:val="9"/>
    <w:pPr>
      <w:keepNext/>
      <w:keepLines/>
      <w:spacing w:before="340" w:after="330" w:line="576" w:lineRule="auto"/>
      <w:outlineLvl w:val="0"/>
    </w:pPr>
    <w:rPr>
      <w:b/>
      <w:kern w:val="44"/>
      <w:sz w:val="44"/>
    </w:rPr>
  </w:style>
  <w:style w:type="paragraph" w:styleId="3">
    <w:name w:val="heading 2"/>
    <w:basedOn w:val="1"/>
    <w:next w:val="1"/>
    <w:link w:val="31"/>
    <w:unhideWhenUsed/>
    <w:qFormat/>
    <w:uiPriority w:val="9"/>
    <w:pPr>
      <w:keepNext/>
      <w:keepLines/>
      <w:spacing w:before="260" w:after="260" w:line="413" w:lineRule="auto"/>
      <w:outlineLvl w:val="1"/>
    </w:pPr>
    <w:rPr>
      <w:rFonts w:ascii="Arial" w:hAnsi="Arial" w:eastAsia="黑体"/>
      <w:b/>
      <w:sz w:val="32"/>
    </w:rPr>
  </w:style>
  <w:style w:type="paragraph" w:styleId="4">
    <w:name w:val="heading 3"/>
    <w:basedOn w:val="1"/>
    <w:next w:val="1"/>
    <w:link w:val="32"/>
    <w:unhideWhenUsed/>
    <w:qFormat/>
    <w:uiPriority w:val="9"/>
    <w:pPr>
      <w:keepNext/>
      <w:keepLines/>
      <w:spacing w:before="260" w:after="260" w:line="413" w:lineRule="auto"/>
      <w:outlineLvl w:val="2"/>
    </w:pPr>
    <w:rPr>
      <w:b/>
      <w:sz w:val="32"/>
    </w:rPr>
  </w:style>
  <w:style w:type="character" w:default="1" w:styleId="27">
    <w:name w:val="Default Paragraph Font"/>
    <w:semiHidden/>
    <w:unhideWhenUsed/>
    <w:uiPriority w:val="1"/>
  </w:style>
  <w:style w:type="table" w:default="1" w:styleId="25">
    <w:name w:val="Normal Table"/>
    <w:semiHidden/>
    <w:unhideWhenUsed/>
    <w:uiPriority w:val="99"/>
    <w:tblPr>
      <w:tblCellMar>
        <w:top w:w="0" w:type="dxa"/>
        <w:left w:w="108" w:type="dxa"/>
        <w:bottom w:w="0" w:type="dxa"/>
        <w:right w:w="108" w:type="dxa"/>
      </w:tblCellMar>
    </w:tblPr>
  </w:style>
  <w:style w:type="paragraph" w:styleId="5">
    <w:name w:val="toc 7"/>
    <w:basedOn w:val="1"/>
    <w:next w:val="1"/>
    <w:unhideWhenUsed/>
    <w:qFormat/>
    <w:uiPriority w:val="39"/>
    <w:pPr>
      <w:ind w:left="2520" w:leftChars="1200"/>
    </w:pPr>
    <w:rPr>
      <w:szCs w:val="22"/>
    </w:rPr>
  </w:style>
  <w:style w:type="paragraph" w:styleId="6">
    <w:name w:val="Normal Indent"/>
    <w:basedOn w:val="1"/>
    <w:qFormat/>
    <w:uiPriority w:val="0"/>
    <w:pPr>
      <w:adjustRightInd w:val="0"/>
      <w:snapToGrid w:val="0"/>
      <w:spacing w:line="300" w:lineRule="auto"/>
      <w:ind w:firstLine="420" w:firstLineChars="200"/>
    </w:pPr>
    <w:rPr>
      <w:rFonts w:ascii="Times New Roman" w:hAnsi="Times New Roman" w:eastAsia="宋体" w:cs="Times New Roman"/>
      <w:sz w:val="24"/>
    </w:rPr>
  </w:style>
  <w:style w:type="paragraph" w:styleId="7">
    <w:name w:val="annotation text"/>
    <w:basedOn w:val="1"/>
    <w:link w:val="41"/>
    <w:semiHidden/>
    <w:unhideWhenUsed/>
    <w:qFormat/>
    <w:uiPriority w:val="99"/>
    <w:pPr>
      <w:jc w:val="left"/>
    </w:pPr>
    <w:rPr>
      <w:szCs w:val="22"/>
    </w:rPr>
  </w:style>
  <w:style w:type="paragraph" w:styleId="8">
    <w:name w:val="Body Text"/>
    <w:basedOn w:val="1"/>
    <w:link w:val="52"/>
    <w:qFormat/>
    <w:uiPriority w:val="1"/>
    <w:pPr>
      <w:autoSpaceDE w:val="0"/>
      <w:autoSpaceDN w:val="0"/>
      <w:jc w:val="left"/>
    </w:pPr>
    <w:rPr>
      <w:rFonts w:ascii="宋体" w:hAnsi="宋体" w:eastAsia="宋体" w:cs="宋体"/>
      <w:kern w:val="0"/>
      <w:sz w:val="24"/>
      <w:lang w:val="zh-CN" w:bidi="zh-CN"/>
    </w:rPr>
  </w:style>
  <w:style w:type="paragraph" w:styleId="9">
    <w:name w:val="toc 5"/>
    <w:basedOn w:val="1"/>
    <w:next w:val="1"/>
    <w:unhideWhenUsed/>
    <w:uiPriority w:val="39"/>
    <w:pPr>
      <w:ind w:left="1680" w:leftChars="800"/>
    </w:pPr>
    <w:rPr>
      <w:szCs w:val="22"/>
    </w:rPr>
  </w:style>
  <w:style w:type="paragraph" w:styleId="10">
    <w:name w:val="toc 3"/>
    <w:basedOn w:val="1"/>
    <w:next w:val="1"/>
    <w:qFormat/>
    <w:uiPriority w:val="39"/>
    <w:pPr>
      <w:ind w:left="840" w:leftChars="400"/>
    </w:pPr>
  </w:style>
  <w:style w:type="paragraph" w:styleId="11">
    <w:name w:val="toc 8"/>
    <w:basedOn w:val="1"/>
    <w:next w:val="1"/>
    <w:unhideWhenUsed/>
    <w:qFormat/>
    <w:uiPriority w:val="39"/>
    <w:pPr>
      <w:ind w:left="2940" w:leftChars="1400"/>
    </w:pPr>
    <w:rPr>
      <w:szCs w:val="22"/>
    </w:rPr>
  </w:style>
  <w:style w:type="paragraph" w:styleId="12">
    <w:name w:val="Date"/>
    <w:basedOn w:val="1"/>
    <w:next w:val="1"/>
    <w:link w:val="43"/>
    <w:semiHidden/>
    <w:unhideWhenUsed/>
    <w:qFormat/>
    <w:uiPriority w:val="99"/>
    <w:pPr>
      <w:ind w:left="100" w:leftChars="2500"/>
    </w:pPr>
    <w:rPr>
      <w:szCs w:val="22"/>
    </w:rPr>
  </w:style>
  <w:style w:type="paragraph" w:styleId="13">
    <w:name w:val="Balloon Text"/>
    <w:basedOn w:val="1"/>
    <w:link w:val="38"/>
    <w:qFormat/>
    <w:uiPriority w:val="99"/>
    <w:rPr>
      <w:sz w:val="18"/>
      <w:szCs w:val="18"/>
    </w:rPr>
  </w:style>
  <w:style w:type="paragraph" w:styleId="14">
    <w:name w:val="footer"/>
    <w:basedOn w:val="1"/>
    <w:link w:val="40"/>
    <w:qFormat/>
    <w:uiPriority w:val="99"/>
    <w:pPr>
      <w:tabs>
        <w:tab w:val="center" w:pos="4153"/>
        <w:tab w:val="right" w:pos="8306"/>
      </w:tabs>
      <w:snapToGrid w:val="0"/>
      <w:jc w:val="left"/>
    </w:pPr>
    <w:rPr>
      <w:sz w:val="18"/>
      <w:szCs w:val="18"/>
    </w:rPr>
  </w:style>
  <w:style w:type="paragraph" w:styleId="15">
    <w:name w:val="header"/>
    <w:basedOn w:val="1"/>
    <w:link w:val="39"/>
    <w:qFormat/>
    <w:uiPriority w:val="0"/>
    <w:pPr>
      <w:pBdr>
        <w:bottom w:val="single" w:color="auto" w:sz="6" w:space="1"/>
      </w:pBdr>
      <w:tabs>
        <w:tab w:val="center" w:pos="4153"/>
        <w:tab w:val="right" w:pos="8306"/>
      </w:tabs>
      <w:snapToGrid w:val="0"/>
      <w:jc w:val="center"/>
    </w:pPr>
    <w:rPr>
      <w:sz w:val="18"/>
      <w:szCs w:val="18"/>
    </w:rPr>
  </w:style>
  <w:style w:type="paragraph" w:styleId="16">
    <w:name w:val="toc 1"/>
    <w:basedOn w:val="1"/>
    <w:next w:val="1"/>
    <w:qFormat/>
    <w:uiPriority w:val="39"/>
  </w:style>
  <w:style w:type="paragraph" w:styleId="17">
    <w:name w:val="toc 4"/>
    <w:basedOn w:val="1"/>
    <w:next w:val="1"/>
    <w:unhideWhenUsed/>
    <w:uiPriority w:val="39"/>
    <w:pPr>
      <w:ind w:left="1260" w:leftChars="600"/>
    </w:pPr>
    <w:rPr>
      <w:szCs w:val="22"/>
    </w:rPr>
  </w:style>
  <w:style w:type="paragraph" w:styleId="18">
    <w:name w:val="Subtitle"/>
    <w:basedOn w:val="1"/>
    <w:next w:val="1"/>
    <w:link w:val="53"/>
    <w:qFormat/>
    <w:uiPriority w:val="0"/>
    <w:pPr>
      <w:spacing w:before="240" w:after="60" w:line="312" w:lineRule="auto"/>
      <w:jc w:val="left"/>
      <w:outlineLvl w:val="1"/>
    </w:pPr>
    <w:rPr>
      <w:rFonts w:ascii="等线 Light" w:hAnsi="等线 Light" w:eastAsia="黑体" w:cs="Times New Roman"/>
      <w:b/>
      <w:bCs/>
      <w:kern w:val="28"/>
      <w:sz w:val="24"/>
      <w:szCs w:val="32"/>
    </w:rPr>
  </w:style>
  <w:style w:type="paragraph" w:styleId="19">
    <w:name w:val="toc 6"/>
    <w:basedOn w:val="1"/>
    <w:next w:val="1"/>
    <w:unhideWhenUsed/>
    <w:qFormat/>
    <w:uiPriority w:val="39"/>
    <w:pPr>
      <w:ind w:left="2100" w:leftChars="1000"/>
    </w:pPr>
    <w:rPr>
      <w:szCs w:val="22"/>
    </w:rPr>
  </w:style>
  <w:style w:type="paragraph" w:styleId="20">
    <w:name w:val="toc 2"/>
    <w:basedOn w:val="1"/>
    <w:next w:val="1"/>
    <w:qFormat/>
    <w:uiPriority w:val="39"/>
    <w:pPr>
      <w:ind w:left="420" w:leftChars="200"/>
    </w:pPr>
  </w:style>
  <w:style w:type="paragraph" w:styleId="21">
    <w:name w:val="toc 9"/>
    <w:basedOn w:val="1"/>
    <w:next w:val="1"/>
    <w:unhideWhenUsed/>
    <w:uiPriority w:val="39"/>
    <w:pPr>
      <w:ind w:left="3360" w:leftChars="1600"/>
    </w:pPr>
    <w:rPr>
      <w:szCs w:val="22"/>
    </w:rPr>
  </w:style>
  <w:style w:type="paragraph" w:styleId="22">
    <w:name w:val="Normal (Web)"/>
    <w:basedOn w:val="1"/>
    <w:qFormat/>
    <w:uiPriority w:val="0"/>
    <w:rPr>
      <w:sz w:val="24"/>
    </w:rPr>
  </w:style>
  <w:style w:type="paragraph" w:styleId="23">
    <w:name w:val="Title"/>
    <w:basedOn w:val="1"/>
    <w:next w:val="1"/>
    <w:link w:val="55"/>
    <w:qFormat/>
    <w:uiPriority w:val="0"/>
    <w:pPr>
      <w:spacing w:before="240" w:after="60"/>
      <w:jc w:val="center"/>
      <w:outlineLvl w:val="0"/>
    </w:pPr>
    <w:rPr>
      <w:rFonts w:ascii="等线 Light" w:hAnsi="等线 Light" w:eastAsia="宋体" w:cs="Times New Roman"/>
      <w:b/>
      <w:bCs/>
      <w:sz w:val="28"/>
      <w:szCs w:val="32"/>
    </w:rPr>
  </w:style>
  <w:style w:type="paragraph" w:styleId="24">
    <w:name w:val="annotation subject"/>
    <w:basedOn w:val="7"/>
    <w:next w:val="7"/>
    <w:link w:val="45"/>
    <w:semiHidden/>
    <w:unhideWhenUsed/>
    <w:qFormat/>
    <w:uiPriority w:val="99"/>
    <w:rPr>
      <w:b/>
      <w:bCs/>
    </w:rPr>
  </w:style>
  <w:style w:type="table" w:styleId="26">
    <w:name w:val="Table Grid"/>
    <w:basedOn w:val="25"/>
    <w:qFormat/>
    <w:uiPriority w:val="3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Hyperlink"/>
    <w:basedOn w:val="27"/>
    <w:unhideWhenUsed/>
    <w:qFormat/>
    <w:uiPriority w:val="99"/>
    <w:rPr>
      <w:color w:val="0563C1" w:themeColor="hyperlink"/>
      <w:u w:val="single"/>
      <w14:textFill>
        <w14:solidFill>
          <w14:schemeClr w14:val="hlink"/>
        </w14:solidFill>
      </w14:textFill>
    </w:rPr>
  </w:style>
  <w:style w:type="character" w:styleId="29">
    <w:name w:val="annotation reference"/>
    <w:basedOn w:val="27"/>
    <w:semiHidden/>
    <w:unhideWhenUsed/>
    <w:qFormat/>
    <w:uiPriority w:val="99"/>
    <w:rPr>
      <w:sz w:val="21"/>
      <w:szCs w:val="21"/>
    </w:rPr>
  </w:style>
  <w:style w:type="character" w:customStyle="1" w:styleId="30">
    <w:name w:val="标题 1 字符"/>
    <w:basedOn w:val="27"/>
    <w:link w:val="2"/>
    <w:qFormat/>
    <w:uiPriority w:val="9"/>
    <w:rPr>
      <w:b/>
      <w:kern w:val="44"/>
      <w:sz w:val="44"/>
      <w:szCs w:val="24"/>
    </w:rPr>
  </w:style>
  <w:style w:type="character" w:customStyle="1" w:styleId="31">
    <w:name w:val="标题 2 字符"/>
    <w:basedOn w:val="27"/>
    <w:link w:val="3"/>
    <w:qFormat/>
    <w:uiPriority w:val="9"/>
    <w:rPr>
      <w:rFonts w:ascii="Arial" w:hAnsi="Arial" w:eastAsia="黑体"/>
      <w:b/>
      <w:sz w:val="32"/>
      <w:szCs w:val="24"/>
    </w:rPr>
  </w:style>
  <w:style w:type="character" w:customStyle="1" w:styleId="32">
    <w:name w:val="标题 3 字符"/>
    <w:basedOn w:val="27"/>
    <w:link w:val="4"/>
    <w:qFormat/>
    <w:uiPriority w:val="9"/>
    <w:rPr>
      <w:b/>
      <w:sz w:val="32"/>
      <w:szCs w:val="24"/>
    </w:rPr>
  </w:style>
  <w:style w:type="paragraph" w:customStyle="1" w:styleId="33">
    <w:name w:val="Body text|2"/>
    <w:basedOn w:val="1"/>
    <w:qFormat/>
    <w:uiPriority w:val="0"/>
    <w:pPr>
      <w:spacing w:line="374" w:lineRule="auto"/>
      <w:ind w:firstLine="400"/>
    </w:pPr>
    <w:rPr>
      <w:rFonts w:ascii="宋体" w:hAnsi="宋体" w:eastAsia="宋体" w:cs="宋体"/>
      <w:sz w:val="22"/>
      <w:szCs w:val="22"/>
      <w:lang w:val="zh-TW" w:eastAsia="zh-TW" w:bidi="zh-TW"/>
    </w:rPr>
  </w:style>
  <w:style w:type="paragraph" w:styleId="34">
    <w:name w:val="List Paragraph"/>
    <w:basedOn w:val="1"/>
    <w:qFormat/>
    <w:uiPriority w:val="99"/>
    <w:pPr>
      <w:ind w:firstLine="420" w:firstLineChars="200"/>
    </w:pPr>
  </w:style>
  <w:style w:type="paragraph" w:customStyle="1" w:styleId="35">
    <w:name w:val="WPSOffice手动目录 1"/>
    <w:qFormat/>
    <w:uiPriority w:val="0"/>
    <w:rPr>
      <w:rFonts w:ascii="Times New Roman" w:hAnsi="Times New Roman" w:eastAsia="宋体" w:cs="Times New Roman"/>
      <w:lang w:val="en-US" w:eastAsia="zh-CN" w:bidi="ar-SA"/>
    </w:rPr>
  </w:style>
  <w:style w:type="paragraph" w:customStyle="1" w:styleId="36">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37">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38">
    <w:name w:val="批注框文本 字符"/>
    <w:basedOn w:val="27"/>
    <w:link w:val="13"/>
    <w:qFormat/>
    <w:uiPriority w:val="99"/>
    <w:rPr>
      <w:sz w:val="18"/>
      <w:szCs w:val="18"/>
    </w:rPr>
  </w:style>
  <w:style w:type="character" w:customStyle="1" w:styleId="39">
    <w:name w:val="页眉 字符"/>
    <w:basedOn w:val="27"/>
    <w:link w:val="15"/>
    <w:qFormat/>
    <w:uiPriority w:val="0"/>
    <w:rPr>
      <w:sz w:val="18"/>
      <w:szCs w:val="18"/>
    </w:rPr>
  </w:style>
  <w:style w:type="character" w:customStyle="1" w:styleId="40">
    <w:name w:val="页脚 字符"/>
    <w:basedOn w:val="27"/>
    <w:link w:val="14"/>
    <w:qFormat/>
    <w:uiPriority w:val="99"/>
    <w:rPr>
      <w:sz w:val="18"/>
      <w:szCs w:val="18"/>
    </w:rPr>
  </w:style>
  <w:style w:type="character" w:customStyle="1" w:styleId="41">
    <w:name w:val="批注文字 字符"/>
    <w:basedOn w:val="27"/>
    <w:link w:val="7"/>
    <w:semiHidden/>
    <w:qFormat/>
    <w:uiPriority w:val="99"/>
  </w:style>
  <w:style w:type="character" w:customStyle="1" w:styleId="42">
    <w:name w:val="批注文字 字符1"/>
    <w:basedOn w:val="27"/>
    <w:semiHidden/>
    <w:uiPriority w:val="99"/>
    <w:rPr>
      <w:szCs w:val="24"/>
    </w:rPr>
  </w:style>
  <w:style w:type="character" w:customStyle="1" w:styleId="43">
    <w:name w:val="日期 字符"/>
    <w:basedOn w:val="27"/>
    <w:link w:val="12"/>
    <w:semiHidden/>
    <w:qFormat/>
    <w:uiPriority w:val="99"/>
  </w:style>
  <w:style w:type="character" w:customStyle="1" w:styleId="44">
    <w:name w:val="日期 字符1"/>
    <w:basedOn w:val="27"/>
    <w:semiHidden/>
    <w:uiPriority w:val="99"/>
    <w:rPr>
      <w:szCs w:val="24"/>
    </w:rPr>
  </w:style>
  <w:style w:type="character" w:customStyle="1" w:styleId="45">
    <w:name w:val="批注主题 字符"/>
    <w:basedOn w:val="41"/>
    <w:link w:val="24"/>
    <w:semiHidden/>
    <w:qFormat/>
    <w:uiPriority w:val="99"/>
    <w:rPr>
      <w:b/>
      <w:bCs/>
    </w:rPr>
  </w:style>
  <w:style w:type="character" w:customStyle="1" w:styleId="46">
    <w:name w:val="批注主题 字符1"/>
    <w:basedOn w:val="42"/>
    <w:semiHidden/>
    <w:uiPriority w:val="99"/>
    <w:rPr>
      <w:b/>
      <w:bCs/>
      <w:szCs w:val="24"/>
    </w:rPr>
  </w:style>
  <w:style w:type="paragraph" w:customStyle="1" w:styleId="47">
    <w:name w:val="Table Paragraph"/>
    <w:basedOn w:val="1"/>
    <w:qFormat/>
    <w:uiPriority w:val="1"/>
    <w:rPr>
      <w:szCs w:val="22"/>
    </w:rPr>
  </w:style>
  <w:style w:type="paragraph" w:customStyle="1" w:styleId="48">
    <w:name w:val="Default"/>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table" w:customStyle="1" w:styleId="49">
    <w:name w:val="无格式表格 11"/>
    <w:basedOn w:val="25"/>
    <w:qFormat/>
    <w:uiPriority w:val="41"/>
    <w:rPr>
      <w:sz w:val="22"/>
      <w:lang w:eastAsia="en-US"/>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paragraph" w:customStyle="1" w:styleId="50">
    <w:name w:val="TOC 标题1"/>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bCs/>
      <w:color w:val="2F5597" w:themeColor="accent1" w:themeShade="BF"/>
      <w:kern w:val="0"/>
      <w:sz w:val="28"/>
      <w:szCs w:val="28"/>
    </w:rPr>
  </w:style>
  <w:style w:type="table" w:customStyle="1" w:styleId="51">
    <w:name w:val="网格型1"/>
    <w:basedOn w:val="25"/>
    <w:qFormat/>
    <w:uiPriority w:val="3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52">
    <w:name w:val="正文文本 字符"/>
    <w:basedOn w:val="27"/>
    <w:link w:val="8"/>
    <w:uiPriority w:val="1"/>
    <w:rPr>
      <w:rFonts w:ascii="宋体" w:hAnsi="宋体" w:eastAsia="宋体" w:cs="宋体"/>
      <w:kern w:val="0"/>
      <w:sz w:val="24"/>
      <w:szCs w:val="24"/>
      <w:lang w:val="zh-CN" w:bidi="zh-CN"/>
    </w:rPr>
  </w:style>
  <w:style w:type="character" w:customStyle="1" w:styleId="53">
    <w:name w:val="副标题 字符1"/>
    <w:link w:val="18"/>
    <w:uiPriority w:val="0"/>
    <w:rPr>
      <w:rFonts w:ascii="等线 Light" w:hAnsi="等线 Light" w:eastAsia="黑体" w:cs="Times New Roman"/>
      <w:b/>
      <w:bCs/>
      <w:kern w:val="28"/>
      <w:sz w:val="24"/>
      <w:szCs w:val="32"/>
    </w:rPr>
  </w:style>
  <w:style w:type="character" w:customStyle="1" w:styleId="54">
    <w:name w:val="副标题 字符"/>
    <w:basedOn w:val="27"/>
    <w:uiPriority w:val="0"/>
    <w:rPr>
      <w:b/>
      <w:bCs/>
      <w:kern w:val="28"/>
      <w:sz w:val="32"/>
      <w:szCs w:val="32"/>
    </w:rPr>
  </w:style>
  <w:style w:type="character" w:customStyle="1" w:styleId="55">
    <w:name w:val="标题 字符1"/>
    <w:link w:val="23"/>
    <w:uiPriority w:val="0"/>
    <w:rPr>
      <w:rFonts w:ascii="等线 Light" w:hAnsi="等线 Light" w:eastAsia="宋体" w:cs="Times New Roman"/>
      <w:b/>
      <w:bCs/>
      <w:sz w:val="28"/>
      <w:szCs w:val="32"/>
    </w:rPr>
  </w:style>
  <w:style w:type="character" w:customStyle="1" w:styleId="56">
    <w:name w:val="标题 字符"/>
    <w:basedOn w:val="27"/>
    <w:uiPriority w:val="0"/>
    <w:rPr>
      <w:rFonts w:asciiTheme="majorHAnsi" w:hAnsiTheme="majorHAnsi" w:eastAsiaTheme="majorEastAsia" w:cstheme="majorBidi"/>
      <w:b/>
      <w:bCs/>
      <w:sz w:val="32"/>
      <w:szCs w:val="32"/>
    </w:rPr>
  </w:style>
  <w:style w:type="paragraph" w:customStyle="1" w:styleId="57">
    <w:name w:val="正文1"/>
    <w:qFormat/>
    <w:uiPriority w:val="0"/>
    <w:pPr>
      <w:widowControl w:val="0"/>
      <w:autoSpaceDE w:val="0"/>
      <w:autoSpaceDN w:val="0"/>
      <w:adjustRightInd w:val="0"/>
      <w:spacing w:line="360" w:lineRule="auto"/>
      <w:ind w:firstLine="200" w:firstLineChars="200"/>
    </w:pPr>
    <w:rPr>
      <w:rFonts w:ascii="仿宋_GB2312" w:hAnsi="Times New Roman" w:eastAsia="宋体" w:cs="仿宋_GB2312"/>
      <w:color w:val="000000"/>
      <w:sz w:val="24"/>
      <w:szCs w:val="24"/>
      <w:lang w:val="en-US" w:eastAsia="zh-CN" w:bidi="ar-SA"/>
    </w:rPr>
  </w:style>
  <w:style w:type="paragraph" w:customStyle="1" w:styleId="58">
    <w:name w:val="_Style 28"/>
    <w:basedOn w:val="1"/>
    <w:next w:val="34"/>
    <w:qFormat/>
    <w:uiPriority w:val="34"/>
    <w:pPr>
      <w:ind w:firstLine="420" w:firstLineChars="200"/>
    </w:pPr>
    <w:rPr>
      <w:rFonts w:ascii="等线" w:hAnsi="等线" w:eastAsia="等线" w:cs="Times New Roman"/>
      <w:szCs w:val="22"/>
    </w:rPr>
  </w:style>
  <w:style w:type="paragraph" w:customStyle="1" w:styleId="59">
    <w:name w:val="TOC 标题2"/>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color w:val="2F5597" w:themeColor="accent1" w:themeShade="BF"/>
      <w:kern w:val="0"/>
      <w:sz w:val="32"/>
      <w:szCs w:val="32"/>
    </w:rPr>
  </w:style>
  <w:style w:type="paragraph" w:customStyle="1" w:styleId="60">
    <w:name w:val="TOC 标题3"/>
    <w:basedOn w:val="2"/>
    <w:next w:val="1"/>
    <w:unhideWhenUsed/>
    <w:qFormat/>
    <w:uiPriority w:val="39"/>
    <w:pPr>
      <w:spacing w:line="578" w:lineRule="auto"/>
      <w:outlineLvl w:val="9"/>
    </w:pPr>
    <w:rPr>
      <w:bCs/>
      <w:szCs w:val="44"/>
    </w:rPr>
  </w:style>
  <w:style w:type="paragraph" w:customStyle="1" w:styleId="61">
    <w:name w:val="样式48 Char Char Char"/>
    <w:basedOn w:val="1"/>
    <w:link w:val="62"/>
    <w:uiPriority w:val="0"/>
    <w:pPr>
      <w:adjustRightInd w:val="0"/>
      <w:snapToGrid w:val="0"/>
      <w:ind w:firstLine="420" w:firstLineChars="200"/>
    </w:pPr>
    <w:rPr>
      <w:rFonts w:ascii="Times New Roman" w:hAnsi="Times New Roman" w:eastAsia="宋体" w:cs="Times New Roman"/>
      <w:szCs w:val="21"/>
    </w:rPr>
  </w:style>
  <w:style w:type="character" w:customStyle="1" w:styleId="62">
    <w:name w:val="样式48 Char Char Char Char"/>
    <w:link w:val="61"/>
    <w:uiPriority w:val="0"/>
    <w:rPr>
      <w:rFonts w:ascii="Times New Roman" w:hAnsi="Times New Roman" w:eastAsia="宋体" w:cs="Times New Roman"/>
      <w:kern w:val="2"/>
      <w:sz w:val="21"/>
      <w:szCs w:val="21"/>
    </w:rPr>
  </w:style>
  <w:style w:type="character" w:customStyle="1" w:styleId="63">
    <w:name w:val="未处理的提及1"/>
    <w:basedOn w:val="27"/>
    <w:semiHidden/>
    <w:unhideWhenUsed/>
    <w:uiPriority w:val="99"/>
    <w:rPr>
      <w:color w:val="605E5C"/>
      <w:shd w:val="clear" w:color="auto" w:fill="E1DFDD"/>
    </w:rPr>
  </w:style>
  <w:style w:type="character" w:customStyle="1" w:styleId="64">
    <w:name w:val="未处理的提及2"/>
    <w:basedOn w:val="27"/>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2.emf"/><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6" Type="http://schemas.openxmlformats.org/officeDocument/2006/relationships/fontTable" Target="fontTable.xml"/><Relationship Id="rId45" Type="http://schemas.openxmlformats.org/officeDocument/2006/relationships/customXml" Target="../customXml/item1.xml"/><Relationship Id="rId44" Type="http://schemas.openxmlformats.org/officeDocument/2006/relationships/numbering" Target="numbering.xml"/><Relationship Id="rId43" Type="http://schemas.openxmlformats.org/officeDocument/2006/relationships/image" Target="media/image32.png"/><Relationship Id="rId42" Type="http://schemas.openxmlformats.org/officeDocument/2006/relationships/chart" Target="charts/chart4.xml"/><Relationship Id="rId41" Type="http://schemas.openxmlformats.org/officeDocument/2006/relationships/image" Target="media/image31.png"/><Relationship Id="rId40" Type="http://schemas.openxmlformats.org/officeDocument/2006/relationships/image" Target="media/image30.png"/><Relationship Id="rId4" Type="http://schemas.openxmlformats.org/officeDocument/2006/relationships/footer" Target="footer2.xml"/><Relationship Id="rId39" Type="http://schemas.openxmlformats.org/officeDocument/2006/relationships/image" Target="media/image29.png"/><Relationship Id="rId38" Type="http://schemas.openxmlformats.org/officeDocument/2006/relationships/image" Target="media/image28.png"/><Relationship Id="rId37" Type="http://schemas.openxmlformats.org/officeDocument/2006/relationships/image" Target="media/image27.png"/><Relationship Id="rId36" Type="http://schemas.openxmlformats.org/officeDocument/2006/relationships/image" Target="media/image26.png"/><Relationship Id="rId35" Type="http://schemas.openxmlformats.org/officeDocument/2006/relationships/image" Target="media/image25.png"/><Relationship Id="rId34" Type="http://schemas.openxmlformats.org/officeDocument/2006/relationships/image" Target="media/image24.png"/><Relationship Id="rId33" Type="http://schemas.openxmlformats.org/officeDocument/2006/relationships/chart" Target="charts/chart3.xml"/><Relationship Id="rId32" Type="http://schemas.openxmlformats.org/officeDocument/2006/relationships/chart" Target="charts/chart2.xml"/><Relationship Id="rId31" Type="http://schemas.openxmlformats.org/officeDocument/2006/relationships/chart" Target="charts/chart1.xml"/><Relationship Id="rId30" Type="http://schemas.openxmlformats.org/officeDocument/2006/relationships/image" Target="media/image23.emf"/><Relationship Id="rId3" Type="http://schemas.openxmlformats.org/officeDocument/2006/relationships/footer" Target="foot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pn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jpeg"/><Relationship Id="rId10" Type="http://schemas.openxmlformats.org/officeDocument/2006/relationships/image" Target="media/image3.emf"/><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86188\Desktop\&#22269;&#38469;&#36152;&#26131;&#23454;&#21153;2017&#21644;2018&#25104;&#32489;&#23545;&#2760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86188\Desktop\&#22269;&#38469;&#36152;&#26131;&#23454;&#21153;2017&#21644;2018&#25104;&#32489;&#23545;&#2760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24037;&#20316;&#31807;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24037;&#20316;&#31807;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200" b="0" i="0" u="none" strike="noStrike" kern="1200" spc="0" baseline="0">
                <a:solidFill>
                  <a:sysClr val="windowText" lastClr="000000"/>
                </a:solidFill>
                <a:latin typeface="Times New Roman" panose="02020603050405020304" charset="0"/>
                <a:ea typeface="宋体" panose="02010600030101010101" charset="-122"/>
                <a:cs typeface="Times New Roman" panose="02020603050405020304" charset="0"/>
              </a:defRPr>
            </a:pPr>
            <a:r>
              <a:rPr lang="en-US" altLang="zh-CN" sz="1200"/>
              <a:t>2017</a:t>
            </a:r>
            <a:r>
              <a:rPr lang="zh-CN" altLang="en-US" sz="1200"/>
              <a:t>级（</a:t>
            </a:r>
            <a:r>
              <a:rPr lang="en-US" altLang="zh-CN" sz="1200"/>
              <a:t>81</a:t>
            </a:r>
            <a:r>
              <a:rPr lang="zh-CN" altLang="en-US" sz="1200"/>
              <a:t>人）平均分：</a:t>
            </a:r>
            <a:r>
              <a:rPr lang="en-US" altLang="zh-CN" sz="1200"/>
              <a:t>72.6</a:t>
            </a:r>
            <a:r>
              <a:rPr lang="zh-CN" altLang="en-US" sz="1200"/>
              <a:t>分</a:t>
            </a:r>
            <a:endParaRPr lang="zh-CN" altLang="en-US" sz="1200"/>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2017级</c:v>
                </c:pt>
              </c:strCache>
            </c:strRef>
          </c:tx>
          <c:spPr>
            <a:solidFill>
              <a:schemeClr val="accent1"/>
            </a:solidFill>
            <a:ln>
              <a:noFill/>
            </a:ln>
            <a:effectLst/>
          </c:spPr>
          <c:invertIfNegative val="0"/>
          <c:dPt>
            <c:idx val="1"/>
            <c:invertIfNegative val="0"/>
            <c:bubble3D val="0"/>
            <c:spPr>
              <a:solidFill>
                <a:srgbClr val="C00000"/>
              </a:solidFill>
              <a:ln>
                <a:noFill/>
              </a:ln>
              <a:effectLst/>
            </c:spPr>
          </c:dPt>
          <c:dLbls>
            <c:delete val="1"/>
          </c:dLbls>
          <c:cat>
            <c:strRef>
              <c:f>Sheet1!$A$2:$A$6</c:f>
              <c:strCache>
                <c:ptCount val="5"/>
                <c:pt idx="0">
                  <c:v>60分以下</c:v>
                </c:pt>
                <c:pt idx="1">
                  <c:v>60-70分</c:v>
                </c:pt>
                <c:pt idx="2">
                  <c:v>70-80分</c:v>
                </c:pt>
                <c:pt idx="3">
                  <c:v>80-90分</c:v>
                </c:pt>
                <c:pt idx="4">
                  <c:v>90分以上</c:v>
                </c:pt>
              </c:strCache>
            </c:strRef>
          </c:cat>
          <c:val>
            <c:numRef>
              <c:f>Sheet1!$B$2:$B$6</c:f>
              <c:numCache>
                <c:formatCode>General</c:formatCode>
                <c:ptCount val="5"/>
                <c:pt idx="0">
                  <c:v>6</c:v>
                </c:pt>
                <c:pt idx="1">
                  <c:v>26</c:v>
                </c:pt>
                <c:pt idx="2">
                  <c:v>25</c:v>
                </c:pt>
                <c:pt idx="3">
                  <c:v>16</c:v>
                </c:pt>
                <c:pt idx="4">
                  <c:v>8</c:v>
                </c:pt>
              </c:numCache>
            </c:numRef>
          </c:val>
        </c:ser>
        <c:dLbls>
          <c:showLegendKey val="0"/>
          <c:showVal val="0"/>
          <c:showCatName val="0"/>
          <c:showSerName val="0"/>
          <c:showPercent val="0"/>
          <c:showBubbleSize val="0"/>
        </c:dLbls>
        <c:gapWidth val="219"/>
        <c:overlap val="-27"/>
        <c:axId val="388930560"/>
        <c:axId val="390183680"/>
      </c:barChart>
      <c:catAx>
        <c:axId val="388930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p>
        </c:txPr>
        <c:crossAx val="390183680"/>
        <c:crosses val="autoZero"/>
        <c:auto val="1"/>
        <c:lblAlgn val="ctr"/>
        <c:lblOffset val="100"/>
        <c:noMultiLvlLbl val="0"/>
      </c:catAx>
      <c:valAx>
        <c:axId val="390183680"/>
        <c:scaling>
          <c:orientation val="minMax"/>
          <c:max val="40"/>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p>
        </c:txPr>
        <c:crossAx val="388930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solidFill>
            <a:sysClr val="windowText" lastClr="000000"/>
          </a:solidFill>
          <a:latin typeface="Times New Roman" panose="02020603050405020304" charset="0"/>
          <a:ea typeface="宋体" panose="02010600030101010101" charset="-122"/>
          <a:cs typeface="Times New Roman" panose="02020603050405020304" charset="0"/>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200" b="0" i="0" u="none" strike="noStrike" kern="1200" spc="0" baseline="0">
                <a:solidFill>
                  <a:sysClr val="windowText" lastClr="000000"/>
                </a:solidFill>
                <a:latin typeface="Times New Roman" panose="02020603050405020304" charset="0"/>
                <a:ea typeface="宋体" panose="02010600030101010101" charset="-122"/>
                <a:cs typeface="Times New Roman" panose="02020603050405020304" charset="0"/>
              </a:defRPr>
            </a:pPr>
            <a:r>
              <a:rPr lang="en-US" altLang="zh-CN" sz="1200"/>
              <a:t>2018</a:t>
            </a:r>
            <a:r>
              <a:rPr lang="zh-CN" altLang="en-US" sz="1200"/>
              <a:t>级（</a:t>
            </a:r>
            <a:r>
              <a:rPr lang="en-US" altLang="zh-CN" sz="1200"/>
              <a:t>84</a:t>
            </a:r>
            <a:r>
              <a:rPr lang="zh-CN" altLang="en-US" sz="1200"/>
              <a:t>人）平均分：</a:t>
            </a:r>
            <a:r>
              <a:rPr lang="en-US" altLang="zh-CN" sz="1200"/>
              <a:t>79.5</a:t>
            </a:r>
            <a:r>
              <a:rPr lang="zh-CN" altLang="en-US" sz="1200"/>
              <a:t>分</a:t>
            </a:r>
            <a:r>
              <a:rPr lang="zh-CN" altLang="en-US" sz="1800" b="1">
                <a:solidFill>
                  <a:srgbClr val="C00000"/>
                </a:solidFill>
              </a:rPr>
              <a:t>↑</a:t>
            </a:r>
            <a:endParaRPr lang="zh-CN" altLang="en-US" sz="1200" b="1">
              <a:solidFill>
                <a:srgbClr val="C00000"/>
              </a:solidFill>
            </a:endParaRPr>
          </a:p>
        </c:rich>
      </c:tx>
      <c:layout/>
      <c:overlay val="0"/>
      <c:spPr>
        <a:noFill/>
        <a:ln>
          <a:noFill/>
        </a:ln>
        <a:effectLst/>
      </c:spPr>
    </c:title>
    <c:autoTitleDeleted val="0"/>
    <c:plotArea>
      <c:layout/>
      <c:barChart>
        <c:barDir val="col"/>
        <c:grouping val="clustered"/>
        <c:varyColors val="0"/>
        <c:ser>
          <c:idx val="0"/>
          <c:order val="0"/>
          <c:tx>
            <c:strRef>
              <c:f>Sheet1!$C$1</c:f>
              <c:strCache>
                <c:ptCount val="1"/>
                <c:pt idx="0">
                  <c:v>2018级</c:v>
                </c:pt>
              </c:strCache>
            </c:strRef>
          </c:tx>
          <c:spPr>
            <a:solidFill>
              <a:schemeClr val="accent1"/>
            </a:solidFill>
            <a:ln>
              <a:noFill/>
            </a:ln>
            <a:effectLst/>
          </c:spPr>
          <c:invertIfNegative val="0"/>
          <c:dPt>
            <c:idx val="3"/>
            <c:invertIfNegative val="0"/>
            <c:bubble3D val="0"/>
            <c:spPr>
              <a:solidFill>
                <a:srgbClr val="C00000"/>
              </a:solidFill>
              <a:ln>
                <a:noFill/>
              </a:ln>
              <a:effectLst/>
            </c:spPr>
          </c:dPt>
          <c:dLbls>
            <c:delete val="1"/>
          </c:dLbls>
          <c:cat>
            <c:strRef>
              <c:f>Sheet1!$A$2:$A$6</c:f>
              <c:strCache>
                <c:ptCount val="5"/>
                <c:pt idx="0">
                  <c:v>60分以下</c:v>
                </c:pt>
                <c:pt idx="1">
                  <c:v>60-70分</c:v>
                </c:pt>
                <c:pt idx="2">
                  <c:v>70-80分</c:v>
                </c:pt>
                <c:pt idx="3">
                  <c:v>80-90分</c:v>
                </c:pt>
                <c:pt idx="4">
                  <c:v>90分以上</c:v>
                </c:pt>
              </c:strCache>
            </c:strRef>
          </c:cat>
          <c:val>
            <c:numRef>
              <c:f>Sheet1!$C$2:$C$6</c:f>
              <c:numCache>
                <c:formatCode>General</c:formatCode>
                <c:ptCount val="5"/>
                <c:pt idx="0">
                  <c:v>3</c:v>
                </c:pt>
                <c:pt idx="1">
                  <c:v>3</c:v>
                </c:pt>
                <c:pt idx="2">
                  <c:v>33</c:v>
                </c:pt>
                <c:pt idx="3">
                  <c:v>38</c:v>
                </c:pt>
                <c:pt idx="4">
                  <c:v>7</c:v>
                </c:pt>
              </c:numCache>
            </c:numRef>
          </c:val>
        </c:ser>
        <c:dLbls>
          <c:showLegendKey val="0"/>
          <c:showVal val="0"/>
          <c:showCatName val="0"/>
          <c:showSerName val="0"/>
          <c:showPercent val="0"/>
          <c:showBubbleSize val="0"/>
        </c:dLbls>
        <c:gapWidth val="219"/>
        <c:overlap val="-27"/>
        <c:axId val="257819648"/>
        <c:axId val="390185536"/>
      </c:barChart>
      <c:catAx>
        <c:axId val="257819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p>
        </c:txPr>
        <c:crossAx val="390185536"/>
        <c:crosses val="autoZero"/>
        <c:auto val="1"/>
        <c:lblAlgn val="ctr"/>
        <c:lblOffset val="100"/>
        <c:noMultiLvlLbl val="0"/>
      </c:catAx>
      <c:valAx>
        <c:axId val="390185536"/>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p>
        </c:txPr>
        <c:crossAx val="2578196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solidFill>
            <a:sysClr val="windowText" lastClr="000000"/>
          </a:solidFill>
          <a:latin typeface="Times New Roman" panose="02020603050405020304" charset="0"/>
          <a:ea typeface="宋体" panose="02010600030101010101" charset="-122"/>
          <a:cs typeface="Times New Roman" panose="02020603050405020304" charset="0"/>
        </a:defRPr>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0095FF"/>
            </a:solidFill>
            <a:ln>
              <a:noFill/>
            </a:ln>
            <a:effectLst/>
          </c:spPr>
          <c:invertIfNegative val="0"/>
          <c:dLbls>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Sheet1!$A$6:$A$7</c:f>
              <c:strCache>
                <c:ptCount val="2"/>
                <c:pt idx="0">
                  <c:v>混合式教学</c:v>
                </c:pt>
                <c:pt idx="1">
                  <c:v>传统教学</c:v>
                </c:pt>
              </c:strCache>
            </c:strRef>
          </c:cat>
          <c:val>
            <c:numRef>
              <c:f>Sheet1!$B$6:$B$7</c:f>
              <c:numCache>
                <c:formatCode>0.00%</c:formatCode>
                <c:ptCount val="2"/>
                <c:pt idx="0">
                  <c:v>0.888888888888889</c:v>
                </c:pt>
                <c:pt idx="1">
                  <c:v>0.111111111111111</c:v>
                </c:pt>
              </c:numCache>
            </c:numRef>
          </c:val>
        </c:ser>
        <c:dLbls>
          <c:showLegendKey val="0"/>
          <c:showVal val="0"/>
          <c:showCatName val="0"/>
          <c:showSerName val="0"/>
          <c:showPercent val="0"/>
          <c:showBubbleSize val="0"/>
        </c:dLbls>
        <c:gapWidth val="182"/>
        <c:axId val="257820672"/>
        <c:axId val="390187264"/>
      </c:barChart>
      <c:catAx>
        <c:axId val="2578206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p>
        </c:txPr>
        <c:crossAx val="390187264"/>
        <c:crosses val="autoZero"/>
        <c:auto val="1"/>
        <c:lblAlgn val="ctr"/>
        <c:lblOffset val="100"/>
        <c:noMultiLvlLbl val="0"/>
      </c:catAx>
      <c:valAx>
        <c:axId val="390187264"/>
        <c:scaling>
          <c:orientation val="minMax"/>
        </c:scaling>
        <c:delete val="0"/>
        <c:axPos val="b"/>
        <c:majorGridlines>
          <c:spPr>
            <a:ln w="9525" cap="flat" cmpd="sng" algn="ctr">
              <a:solidFill>
                <a:schemeClr val="tx1">
                  <a:lumMod val="15000"/>
                  <a:lumOff val="85000"/>
                </a:schemeClr>
              </a:solidFill>
              <a:prstDash val="solid"/>
              <a:round/>
            </a:ln>
            <a:effectLst/>
          </c:spPr>
        </c:majorGridlines>
        <c:numFmt formatCode="0%" sourceLinked="0"/>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p>
        </c:txPr>
        <c:crossAx val="257820672"/>
        <c:crosses val="autoZero"/>
        <c:crossBetween val="between"/>
      </c:valAx>
      <c:spPr>
        <a:noFill/>
        <a:ln>
          <a:noFill/>
        </a:ln>
        <a:effectLst/>
      </c:spPr>
    </c:plotArea>
    <c:plotVisOnly val="1"/>
    <c:dispBlanksAs val="gap"/>
    <c:showDLblsOverMax val="0"/>
  </c:chart>
  <c:spPr>
    <a:solidFill>
      <a:schemeClr val="bg1"/>
    </a:solidFill>
    <a:ln w="9525" cap="flat" cmpd="sng" algn="ctr">
      <a:noFill/>
      <a:prstDash val="solid"/>
      <a:round/>
    </a:ln>
    <a:effectLst>
      <a:outerShdw blurRad="63500" sx="102000" sy="102000" algn="ctr" rotWithShape="0">
        <a:prstClr val="black">
          <a:alpha val="40000"/>
        </a:prstClr>
      </a:outerShdw>
    </a:effectLst>
  </c:spPr>
  <c:txPr>
    <a:bodyPr/>
    <a:lstStyle/>
    <a:p>
      <a:pPr>
        <a:defRPr lang="zh-CN">
          <a:solidFill>
            <a:sysClr val="windowText" lastClr="000000"/>
          </a:solidFill>
          <a:latin typeface="Times New Roman" panose="02020603050405020304" charset="0"/>
          <a:ea typeface="宋体" panose="02010600030101010101" charset="-122"/>
          <a:cs typeface="Times New Roman" panose="02020603050405020304" charset="0"/>
        </a:defRPr>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bar"/>
        <c:grouping val="clustered"/>
        <c:varyColors val="0"/>
        <c:ser>
          <c:idx val="0"/>
          <c:order val="0"/>
          <c:spPr>
            <a:solidFill>
              <a:srgbClr val="0095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2">
                          <a:lumMod val="35000"/>
                          <a:lumOff val="65000"/>
                        </a:schemeClr>
                      </a:solidFill>
                      <a:prstDash val="solid"/>
                      <a:round/>
                    </a:ln>
                    <a:effectLst/>
                  </c:spPr>
                </c15:leaderLines>
              </c:ext>
            </c:extLst>
          </c:dLbls>
          <c:cat>
            <c:strRef>
              <c:f>Sheet2!$A$1:$A$8</c:f>
              <c:strCache>
                <c:ptCount val="8"/>
                <c:pt idx="0">
                  <c:v>主动寻找各种来源资料去解决问题</c:v>
                </c:pt>
                <c:pt idx="1">
                  <c:v>主动参与课堂学习</c:v>
                </c:pt>
                <c:pt idx="2">
                  <c:v>批判性思维方式的培养</c:v>
                </c:pt>
                <c:pt idx="3">
                  <c:v>运用所学知识解决问题</c:v>
                </c:pt>
                <c:pt idx="4">
                  <c:v>有条理、有逻辑地分析问题</c:v>
                </c:pt>
                <c:pt idx="5">
                  <c:v>团队合作精神</c:v>
                </c:pt>
                <c:pt idx="6">
                  <c:v>表达能力</c:v>
                </c:pt>
                <c:pt idx="7">
                  <c:v>团队和小组间互助互学能力</c:v>
                </c:pt>
              </c:strCache>
            </c:strRef>
          </c:cat>
          <c:val>
            <c:numRef>
              <c:f>Sheet2!$C$1:$C$8</c:f>
              <c:numCache>
                <c:formatCode>0.00%</c:formatCode>
                <c:ptCount val="8"/>
                <c:pt idx="0">
                  <c:v>0.761904761904762</c:v>
                </c:pt>
                <c:pt idx="1">
                  <c:v>0.857142857142857</c:v>
                </c:pt>
                <c:pt idx="2">
                  <c:v>0.444444444444444</c:v>
                </c:pt>
                <c:pt idx="3">
                  <c:v>0.714285714285714</c:v>
                </c:pt>
                <c:pt idx="4">
                  <c:v>0.603174603174603</c:v>
                </c:pt>
                <c:pt idx="5">
                  <c:v>0.634920634920635</c:v>
                </c:pt>
                <c:pt idx="6">
                  <c:v>0.444444444444444</c:v>
                </c:pt>
                <c:pt idx="7">
                  <c:v>0.507936507936508</c:v>
                </c:pt>
              </c:numCache>
            </c:numRef>
          </c:val>
        </c:ser>
        <c:dLbls>
          <c:showLegendKey val="0"/>
          <c:showVal val="0"/>
          <c:showCatName val="0"/>
          <c:showSerName val="0"/>
          <c:showPercent val="0"/>
          <c:showBubbleSize val="0"/>
        </c:dLbls>
        <c:gapWidth val="100"/>
        <c:axId val="388931072"/>
        <c:axId val="390188992"/>
      </c:barChart>
      <c:catAx>
        <c:axId val="388931072"/>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p>
        </c:txPr>
        <c:crossAx val="390188992"/>
        <c:crosses val="autoZero"/>
        <c:auto val="1"/>
        <c:lblAlgn val="ctr"/>
        <c:lblOffset val="100"/>
        <c:noMultiLvlLbl val="0"/>
      </c:catAx>
      <c:valAx>
        <c:axId val="390188992"/>
        <c:scaling>
          <c:orientation val="minMax"/>
        </c:scaling>
        <c:delete val="0"/>
        <c:axPos val="b"/>
        <c:majorGridlines>
          <c:spPr>
            <a:ln w="9525" cap="flat" cmpd="sng" algn="ctr">
              <a:solidFill>
                <a:schemeClr val="tx2">
                  <a:lumMod val="15000"/>
                  <a:lumOff val="85000"/>
                </a:schemeClr>
              </a:solidFill>
              <a:prstDash val="solid"/>
              <a:round/>
            </a:ln>
            <a:effectLst/>
          </c:spPr>
        </c:majorGridlines>
        <c:numFmt formatCode="0%" sourceLinked="0"/>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p>
        </c:txPr>
        <c:crossAx val="388931072"/>
        <c:crosses val="autoZero"/>
        <c:crossBetween val="between"/>
      </c:valAx>
      <c:spPr>
        <a:noFill/>
        <a:ln>
          <a:noFill/>
        </a:ln>
        <a:effectLst/>
      </c:spPr>
    </c:plotArea>
    <c:plotVisOnly val="1"/>
    <c:dispBlanksAs val="gap"/>
    <c:showDLblsOverMax val="0"/>
  </c:chart>
  <c:spPr>
    <a:solidFill>
      <a:schemeClr val="bg1"/>
    </a:solidFill>
    <a:ln w="9525" cap="flat" cmpd="sng" algn="ctr">
      <a:noFill/>
      <a:prstDash val="solid"/>
      <a:round/>
    </a:ln>
    <a:effectLst>
      <a:outerShdw blurRad="63500" sx="102000" sy="102000" algn="ctr" rotWithShape="0">
        <a:prstClr val="black">
          <a:alpha val="40000"/>
        </a:prstClr>
      </a:outerShdw>
    </a:effectLst>
  </c:spPr>
  <c:txPr>
    <a:bodyPr/>
    <a:lstStyle/>
    <a:p>
      <a:pPr>
        <a:defRPr lang="zh-CN">
          <a:solidFill>
            <a:sysClr val="windowText" lastClr="000000"/>
          </a:solidFill>
          <a:latin typeface="Times New Roman" panose="02020603050405020304" charset="0"/>
          <a:ea typeface="宋体" panose="02010600030101010101" charset="-122"/>
          <a:cs typeface="Times New Roman" panose="02020603050405020304" charset="0"/>
        </a:defRPr>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6EFB0F-1ED1-4189-8C82-BD781DFE0081}">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263</Pages>
  <Words>19898</Words>
  <Characters>113420</Characters>
  <Lines>945</Lines>
  <Paragraphs>266</Paragraphs>
  <TotalTime>8</TotalTime>
  <ScaleCrop>false</ScaleCrop>
  <LinksUpToDate>false</LinksUpToDate>
  <CharactersWithSpaces>133052</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2022-05-06T09:09:00Z</dcterms:created>
  <dc:creator>混合组</dc:creator>
  <cp:lastModifiedBy>WPS_422658589</cp:lastModifiedBy>
  <cp:lastPrinted>2022-05-03T14:43:00Z</cp:lastPrinted>
  <dcterms:modified xsi:type="dcterms:W3CDTF">2022-08-12T03:15:21Z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1563FDD14E974A74868658F3A93ED2F3</vt:lpwstr>
  </property>
</Properties>
</file>